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425D5B39" w:rsidR="000E1C19" w:rsidRPr="006C22DB" w:rsidRDefault="000E1C19" w:rsidP="000E1C19">
                            <w:pPr>
                              <w:pStyle w:val="Sansinterligne"/>
                              <w:jc w:val="center"/>
                              <w:rPr>
                                <w:b/>
                                <w:bCs/>
                              </w:rPr>
                            </w:pPr>
                            <w:r w:rsidRPr="006C22DB">
                              <w:rPr>
                                <w:b/>
                                <w:bCs/>
                              </w:rPr>
                              <w:t>1.</w:t>
                            </w:r>
                            <w:r w:rsidR="00AE38D5">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425D5B39" w:rsidR="000E1C19" w:rsidRPr="006C22DB" w:rsidRDefault="000E1C19" w:rsidP="000E1C19">
                      <w:pPr>
                        <w:pStyle w:val="Sansinterligne"/>
                        <w:jc w:val="center"/>
                        <w:rPr>
                          <w:b/>
                          <w:bCs/>
                        </w:rPr>
                      </w:pPr>
                      <w:r w:rsidRPr="006C22DB">
                        <w:rPr>
                          <w:b/>
                          <w:bCs/>
                        </w:rPr>
                        <w:t>1.</w:t>
                      </w:r>
                      <w:r w:rsidR="00AE38D5">
                        <w:rPr>
                          <w:b/>
                          <w:bCs/>
                        </w:rPr>
                        <w:t>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41323A54" w:rsidR="000E1C19" w:rsidRDefault="000E1C19" w:rsidP="000E1C19">
      <w:pPr>
        <w:rPr>
          <w:rFonts w:ascii="Calibri" w:hAnsi="Calibri" w:cs="Calibri"/>
        </w:rPr>
      </w:pPr>
    </w:p>
    <w:p w14:paraId="4E51C32D" w14:textId="77777777" w:rsidR="00C93968" w:rsidRDefault="00C93968" w:rsidP="000E1C19">
      <w:pPr>
        <w:rPr>
          <w:rFonts w:ascii="Calibri" w:hAnsi="Calibri" w:cs="Calibri"/>
        </w:rPr>
      </w:pPr>
    </w:p>
    <w:p w14:paraId="52A48263" w14:textId="77777777" w:rsidR="00C93968" w:rsidRPr="009325D3" w:rsidRDefault="00C93968" w:rsidP="00C93968">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2"/>
        <w:gridCol w:w="2612"/>
        <w:gridCol w:w="2613"/>
        <w:gridCol w:w="2638"/>
      </w:tblGrid>
      <w:tr w:rsidR="00C93968" w:rsidRPr="009325D3" w14:paraId="2FD7EFC0"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0C2AF8CB" w14:textId="77777777" w:rsidR="00C93968" w:rsidRPr="009325D3" w:rsidRDefault="00C93968" w:rsidP="000B288C">
            <w:pPr>
              <w:pStyle w:val="Titre"/>
              <w:outlineLvl w:val="2"/>
              <w:rPr>
                <w:rFonts w:cs="Calibri"/>
              </w:rPr>
            </w:pPr>
            <w:bookmarkStart w:id="0" w:name="_Toc116053849"/>
            <w:r w:rsidRPr="009325D3">
              <w:rPr>
                <w:rFonts w:cs="Calibri"/>
              </w:rPr>
              <w:t>Action n°5</w:t>
            </w:r>
            <w:bookmarkEnd w:id="0"/>
          </w:p>
          <w:p w14:paraId="67973BA4" w14:textId="77777777" w:rsidR="00C93968" w:rsidRPr="009325D3" w:rsidRDefault="00C93968" w:rsidP="000B288C">
            <w:pPr>
              <w:pStyle w:val="Titre"/>
              <w:outlineLvl w:val="2"/>
              <w:rPr>
                <w:rFonts w:cs="Calibri"/>
              </w:rPr>
            </w:pPr>
            <w:bookmarkStart w:id="1" w:name="_Toc116053850"/>
            <w:r w:rsidRPr="009325D3">
              <w:rPr>
                <w:rFonts w:cs="Calibri"/>
              </w:rPr>
              <w:t>Acquisition, usages, sécurisation et exploitation des données</w:t>
            </w:r>
            <w:bookmarkEnd w:id="1"/>
          </w:p>
        </w:tc>
      </w:tr>
      <w:tr w:rsidR="00C93968" w:rsidRPr="009325D3" w14:paraId="20E0C5BE" w14:textId="77777777" w:rsidTr="000B288C">
        <w:tc>
          <w:tcPr>
            <w:tcW w:w="2612" w:type="dxa"/>
            <w:tcBorders>
              <w:top w:val="single" w:sz="2" w:space="0" w:color="002060"/>
              <w:left w:val="single" w:sz="12" w:space="0" w:color="002060"/>
              <w:bottom w:val="single" w:sz="12" w:space="0" w:color="002060"/>
              <w:right w:val="single" w:sz="2" w:space="0" w:color="002060"/>
            </w:tcBorders>
            <w:vAlign w:val="center"/>
          </w:tcPr>
          <w:p w14:paraId="0A15652E" w14:textId="77777777" w:rsidR="00C93968" w:rsidRPr="009325D3" w:rsidRDefault="00C93968"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2" w:type="dxa"/>
            <w:tcBorders>
              <w:top w:val="single" w:sz="12" w:space="0" w:color="002060"/>
              <w:left w:val="single" w:sz="2" w:space="0" w:color="002060"/>
              <w:bottom w:val="single" w:sz="12" w:space="0" w:color="002060"/>
              <w:right w:val="single" w:sz="12" w:space="0" w:color="002060"/>
            </w:tcBorders>
            <w:vAlign w:val="center"/>
          </w:tcPr>
          <w:p w14:paraId="71D753AD" w14:textId="77777777" w:rsidR="00C93968" w:rsidRPr="009325D3" w:rsidRDefault="00C93968" w:rsidP="000B288C">
            <w:pPr>
              <w:pStyle w:val="Sansinterligne"/>
              <w:jc w:val="center"/>
              <w:rPr>
                <w:rFonts w:ascii="Calibri" w:hAnsi="Calibri" w:cs="Calibri"/>
                <w:sz w:val="20"/>
                <w:szCs w:val="20"/>
              </w:rPr>
            </w:pPr>
            <w:r>
              <w:rPr>
                <w:rFonts w:ascii="Calibri" w:hAnsi="Calibri" w:cs="Calibri"/>
                <w:sz w:val="20"/>
                <w:szCs w:val="20"/>
              </w:rPr>
              <w:t>14</w:t>
            </w:r>
            <w:r w:rsidRPr="00502C0B">
              <w:rPr>
                <w:rFonts w:ascii="Calibri" w:hAnsi="Calibri" w:cs="Calibri"/>
                <w:sz w:val="20"/>
                <w:szCs w:val="20"/>
              </w:rPr>
              <w:t>/</w:t>
            </w:r>
            <w:r>
              <w:rPr>
                <w:rFonts w:ascii="Calibri" w:hAnsi="Calibri" w:cs="Calibri"/>
                <w:sz w:val="20"/>
                <w:szCs w:val="20"/>
              </w:rPr>
              <w:t>09</w:t>
            </w:r>
            <w:r w:rsidRPr="00502C0B">
              <w:rPr>
                <w:rFonts w:ascii="Calibri" w:hAnsi="Calibri" w:cs="Calibri"/>
                <w:sz w:val="20"/>
                <w:szCs w:val="20"/>
              </w:rPr>
              <w:t>/202</w:t>
            </w:r>
            <w:r>
              <w:rPr>
                <w:rFonts w:ascii="Calibri" w:hAnsi="Calibri" w:cs="Calibri"/>
                <w:sz w:val="20"/>
                <w:szCs w:val="20"/>
              </w:rPr>
              <w:t>3</w:t>
            </w:r>
          </w:p>
        </w:tc>
        <w:tc>
          <w:tcPr>
            <w:tcW w:w="2613" w:type="dxa"/>
            <w:tcBorders>
              <w:top w:val="single" w:sz="12" w:space="0" w:color="002060"/>
              <w:left w:val="single" w:sz="12" w:space="0" w:color="002060"/>
              <w:bottom w:val="single" w:sz="12" w:space="0" w:color="002060"/>
              <w:right w:val="single" w:sz="2" w:space="0" w:color="002060"/>
            </w:tcBorders>
            <w:vAlign w:val="center"/>
          </w:tcPr>
          <w:p w14:paraId="6CB1F600" w14:textId="77777777" w:rsidR="00C93968" w:rsidRPr="009325D3" w:rsidRDefault="00C93968"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8" w:type="dxa"/>
            <w:tcBorders>
              <w:top w:val="single" w:sz="12" w:space="0" w:color="002060"/>
              <w:left w:val="single" w:sz="2" w:space="0" w:color="002060"/>
              <w:bottom w:val="single" w:sz="12" w:space="0" w:color="002060"/>
              <w:right w:val="single" w:sz="12" w:space="0" w:color="002060"/>
            </w:tcBorders>
            <w:vAlign w:val="center"/>
          </w:tcPr>
          <w:p w14:paraId="02375C68" w14:textId="77777777" w:rsidR="00C93968" w:rsidRPr="009325D3" w:rsidRDefault="00C93968" w:rsidP="000B288C">
            <w:pPr>
              <w:pStyle w:val="Sansinterligne"/>
              <w:jc w:val="center"/>
              <w:rPr>
                <w:rFonts w:ascii="Calibri" w:hAnsi="Calibri" w:cs="Calibri"/>
                <w:sz w:val="20"/>
                <w:szCs w:val="20"/>
              </w:rPr>
            </w:pPr>
            <w:r w:rsidRPr="009325D3">
              <w:rPr>
                <w:rFonts w:ascii="Calibri" w:hAnsi="Calibri" w:cs="Calibri"/>
                <w:sz w:val="20"/>
                <w:szCs w:val="20"/>
              </w:rPr>
              <w:t xml:space="preserve">Néant </w:t>
            </w:r>
          </w:p>
        </w:tc>
      </w:tr>
    </w:tbl>
    <w:p w14:paraId="66823815" w14:textId="77777777" w:rsidR="00781FDA" w:rsidRDefault="00781FDA" w:rsidP="00781FDA">
      <w:pPr>
        <w:pStyle w:val="Sansinterligne"/>
        <w:jc w:val="both"/>
      </w:pPr>
    </w:p>
    <w:p w14:paraId="2CAE640F" w14:textId="77777777" w:rsidR="00781FDA" w:rsidRPr="004A7CAA" w:rsidRDefault="00781FDA" w:rsidP="00781FDA">
      <w:pPr>
        <w:pStyle w:val="Sansinterligne"/>
        <w:shd w:val="clear" w:color="auto" w:fill="DEEAF6" w:themeFill="accent5" w:themeFillTint="33"/>
        <w:jc w:val="both"/>
        <w:rPr>
          <w:b/>
          <w:bCs/>
          <w:color w:val="002060"/>
          <w:sz w:val="28"/>
          <w:szCs w:val="28"/>
        </w:rPr>
      </w:pPr>
      <w:r w:rsidRPr="004A7CAA">
        <w:rPr>
          <w:b/>
          <w:bCs/>
          <w:color w:val="FFFFFF" w:themeColor="background1"/>
          <w:sz w:val="28"/>
          <w:szCs w:val="28"/>
          <w:shd w:val="clear" w:color="auto" w:fill="002060"/>
        </w:rPr>
        <w:t>QUOI ?</w:t>
      </w:r>
      <w:r w:rsidRPr="006E3DEA">
        <w:rPr>
          <w:b/>
          <w:bCs/>
          <w:color w:val="002060"/>
          <w:sz w:val="28"/>
          <w:szCs w:val="28"/>
        </w:rPr>
        <w:t xml:space="preserve">  </w:t>
      </w:r>
      <w:r>
        <w:rPr>
          <w:b/>
          <w:bCs/>
          <w:color w:val="002060"/>
          <w:sz w:val="28"/>
          <w:szCs w:val="28"/>
        </w:rPr>
        <w:t>Contexte et o</w:t>
      </w:r>
      <w:r w:rsidRPr="004A7CAA">
        <w:rPr>
          <w:b/>
          <w:bCs/>
          <w:color w:val="002060"/>
          <w:sz w:val="28"/>
          <w:szCs w:val="28"/>
        </w:rPr>
        <w:t>bjectifs</w:t>
      </w:r>
    </w:p>
    <w:p w14:paraId="3941528A" w14:textId="77777777" w:rsidR="00781FDA" w:rsidRDefault="00781FDA" w:rsidP="00781FDA">
      <w:pPr>
        <w:pStyle w:val="Sansinterligne"/>
        <w:jc w:val="both"/>
      </w:pPr>
    </w:p>
    <w:p w14:paraId="1A084FBA" w14:textId="77777777" w:rsidR="00781FDA" w:rsidRPr="00826105" w:rsidRDefault="00781FDA" w:rsidP="00781FDA">
      <w:pPr>
        <w:pStyle w:val="Sansinterligne"/>
        <w:jc w:val="both"/>
        <w:rPr>
          <w:color w:val="000000" w:themeColor="text1"/>
        </w:rPr>
      </w:pPr>
      <w:r w:rsidRPr="00826105">
        <w:rPr>
          <w:color w:val="000000" w:themeColor="text1"/>
        </w:rPr>
        <w:t xml:space="preserve">Les données sont omniprésentes dans la vie de chacun comme dans les différents domaines de la vie du territoire, qu'il s'agisse des données ouvertes (open data), des données personnelles générées par chacun d’entre nous dans nos actes les plus ordinaires ou produites par les opérateurs de services, des données dont l'exploitation marchande nourrit la « gratuité » des grandes plateformes numériques.  </w:t>
      </w:r>
    </w:p>
    <w:p w14:paraId="4BE75302" w14:textId="77777777" w:rsidR="00781FDA" w:rsidRDefault="00781FDA" w:rsidP="00781FDA">
      <w:pPr>
        <w:pStyle w:val="Sansinterligne"/>
        <w:rPr>
          <w:color w:val="000000" w:themeColor="text1"/>
        </w:rPr>
      </w:pPr>
    </w:p>
    <w:p w14:paraId="046855A9" w14:textId="77777777" w:rsidR="00781FDA" w:rsidRPr="00826105" w:rsidRDefault="00781FDA" w:rsidP="00781FDA">
      <w:pPr>
        <w:pStyle w:val="Sansinterligne"/>
        <w:rPr>
          <w:color w:val="000000" w:themeColor="text1"/>
        </w:rPr>
      </w:pPr>
      <w:r w:rsidRPr="00826105">
        <w:rPr>
          <w:color w:val="000000" w:themeColor="text1"/>
        </w:rPr>
        <w:t xml:space="preserve">Elles sont désormais au cœur de l’économie, utiles dans le secteur de l’agriculture ou de l’industrie par exemple mais également dans les domaines de la santé ou pour la préservation de l’environnement ; leur maîtrise collective est donc un enjeu stratégique. En quelques années, les données sont devenues des objets politiques, économiques et sociaux. </w:t>
      </w:r>
    </w:p>
    <w:p w14:paraId="31AAF762" w14:textId="77777777" w:rsidR="00781FDA" w:rsidRDefault="00781FDA" w:rsidP="00781FDA">
      <w:pPr>
        <w:pStyle w:val="Sansinterligne"/>
        <w:jc w:val="both"/>
        <w:rPr>
          <w:color w:val="000000" w:themeColor="text1"/>
        </w:rPr>
      </w:pPr>
    </w:p>
    <w:p w14:paraId="06E12CEB" w14:textId="77777777" w:rsidR="00781FDA" w:rsidRPr="00826105" w:rsidRDefault="00781FDA" w:rsidP="00781FDA">
      <w:pPr>
        <w:pStyle w:val="Sansinterligne"/>
        <w:jc w:val="both"/>
        <w:rPr>
          <w:color w:val="000000" w:themeColor="text1"/>
        </w:rPr>
      </w:pPr>
      <w:r w:rsidRPr="00826105">
        <w:rPr>
          <w:color w:val="000000" w:themeColor="text1"/>
        </w:rPr>
        <w:t xml:space="preserve">Les acteurs publics doivent pouvoir assurer la maitrise de ces données, leurs exploitations en toute transparence, au service d’une meilleur connaissance de leur territoire. Il s’agira également de les partager dans un cadre de confiance afin de créer de valeurs sur les territoires, en proximité.   </w:t>
      </w:r>
    </w:p>
    <w:p w14:paraId="0784DD56" w14:textId="77777777" w:rsidR="00781FDA" w:rsidRDefault="00781FDA" w:rsidP="00781FDA">
      <w:pPr>
        <w:pStyle w:val="Sansinterligne"/>
        <w:jc w:val="both"/>
        <w:rPr>
          <w:b/>
          <w:bCs/>
          <w:color w:val="002060"/>
        </w:rPr>
      </w:pPr>
    </w:p>
    <w:p w14:paraId="0F2BD4EE" w14:textId="77777777" w:rsidR="00781FDA" w:rsidRPr="00826105" w:rsidRDefault="00781FDA" w:rsidP="00781FDA">
      <w:pPr>
        <w:pStyle w:val="Sansinterligne"/>
        <w:jc w:val="both"/>
        <w:rPr>
          <w:color w:val="000000" w:themeColor="text1"/>
        </w:rPr>
      </w:pPr>
      <w:bookmarkStart w:id="2" w:name="_Hlk115687891"/>
      <w:r w:rsidRPr="00826105">
        <w:rPr>
          <w:color w:val="000000" w:themeColor="text1"/>
        </w:rPr>
        <w:t>Le soutien du FEDER concernera </w:t>
      </w:r>
      <w:r>
        <w:rPr>
          <w:color w:val="000000" w:themeColor="text1"/>
        </w:rPr>
        <w:t xml:space="preserve">le développement </w:t>
      </w:r>
      <w:r w:rsidRPr="00826105">
        <w:rPr>
          <w:color w:val="000000" w:themeColor="text1"/>
        </w:rPr>
        <w:t xml:space="preserve">:  </w:t>
      </w:r>
    </w:p>
    <w:bookmarkEnd w:id="2"/>
    <w:p w14:paraId="1F947A24" w14:textId="77777777" w:rsidR="00781FDA" w:rsidRDefault="00781FDA" w:rsidP="00781FDA">
      <w:pPr>
        <w:pStyle w:val="Sansinterligne"/>
        <w:jc w:val="both"/>
        <w:rPr>
          <w:b/>
          <w:bCs/>
          <w:color w:val="002060"/>
        </w:rPr>
      </w:pPr>
    </w:p>
    <w:p w14:paraId="1E1E7C17" w14:textId="77777777" w:rsidR="00781FDA" w:rsidRPr="00E7247C" w:rsidRDefault="00781FDA" w:rsidP="00781FDA">
      <w:pPr>
        <w:pStyle w:val="Sansinterligne"/>
        <w:jc w:val="both"/>
      </w:pPr>
      <w:r>
        <w:rPr>
          <w:b/>
          <w:bCs/>
          <w:color w:val="002060"/>
        </w:rPr>
        <w:t>De n</w:t>
      </w:r>
      <w:r w:rsidRPr="00E7247C">
        <w:rPr>
          <w:b/>
          <w:bCs/>
          <w:color w:val="002060"/>
        </w:rPr>
        <w:t>ouveaux services au bénéfice des entreprises :</w:t>
      </w:r>
    </w:p>
    <w:p w14:paraId="128B3D00" w14:textId="77777777" w:rsidR="00781FDA" w:rsidRPr="00E7247C" w:rsidRDefault="00781FDA" w:rsidP="00781FDA">
      <w:pPr>
        <w:pStyle w:val="Sansinterligne"/>
        <w:jc w:val="both"/>
      </w:pPr>
    </w:p>
    <w:p w14:paraId="02AFD6C9" w14:textId="77777777" w:rsidR="00781FDA" w:rsidRPr="00E7247C" w:rsidRDefault="00781FDA" w:rsidP="00781FDA">
      <w:pPr>
        <w:pStyle w:val="Sansinterligne"/>
        <w:numPr>
          <w:ilvl w:val="0"/>
          <w:numId w:val="5"/>
        </w:numPr>
        <w:jc w:val="both"/>
      </w:pPr>
      <w:r w:rsidRPr="00E7247C">
        <w:t>Développement économique autour des données et du renforcement de la chaine de valeur de la donnée.</w:t>
      </w:r>
    </w:p>
    <w:p w14:paraId="2ECF8FD3" w14:textId="77777777" w:rsidR="00781FDA" w:rsidRPr="00E7247C" w:rsidRDefault="00781FDA" w:rsidP="00781FDA">
      <w:pPr>
        <w:pStyle w:val="Sansinterligne"/>
        <w:jc w:val="both"/>
      </w:pPr>
    </w:p>
    <w:p w14:paraId="6BCD4AF9" w14:textId="77777777" w:rsidR="00781FDA" w:rsidRPr="00E7247C" w:rsidRDefault="00781FDA" w:rsidP="00781FDA">
      <w:pPr>
        <w:pStyle w:val="Sansinterligne"/>
        <w:jc w:val="both"/>
        <w:rPr>
          <w:b/>
          <w:bCs/>
          <w:color w:val="002060"/>
        </w:rPr>
      </w:pPr>
      <w:r>
        <w:rPr>
          <w:b/>
          <w:bCs/>
          <w:color w:val="002060"/>
        </w:rPr>
        <w:t>De n</w:t>
      </w:r>
      <w:r w:rsidRPr="00E7247C">
        <w:rPr>
          <w:b/>
          <w:bCs/>
          <w:color w:val="002060"/>
        </w:rPr>
        <w:t>ouveaux services au profit des pouvoirs publics et des citoyens :</w:t>
      </w:r>
    </w:p>
    <w:p w14:paraId="3DC22193" w14:textId="77777777" w:rsidR="00781FDA" w:rsidRDefault="00781FDA" w:rsidP="00781FDA">
      <w:pPr>
        <w:pStyle w:val="Sansinterligne"/>
        <w:jc w:val="both"/>
        <w:rPr>
          <w:b/>
          <w:bCs/>
          <w:color w:val="002060"/>
        </w:rPr>
      </w:pPr>
    </w:p>
    <w:p w14:paraId="5B8EECA0" w14:textId="77777777" w:rsidR="00781FDA" w:rsidRPr="00A14F8E" w:rsidRDefault="00781FDA" w:rsidP="00781FDA">
      <w:pPr>
        <w:pStyle w:val="Sansinterligne"/>
        <w:numPr>
          <w:ilvl w:val="0"/>
          <w:numId w:val="6"/>
        </w:numPr>
        <w:jc w:val="both"/>
      </w:pPr>
      <w:r w:rsidRPr="00A14F8E">
        <w:t xml:space="preserve">Mise en cohérence des systèmes d'information et amélioration </w:t>
      </w:r>
      <w:r>
        <w:t>significative</w:t>
      </w:r>
      <w:r w:rsidRPr="00A14F8E">
        <w:t xml:space="preserve"> des services rendus aux habitants : analyse des flux de données</w:t>
      </w:r>
      <w:r>
        <w:t>,</w:t>
      </w:r>
      <w:r w:rsidRPr="00A14F8E">
        <w:t xml:space="preserve"> reprise des processus de gestion, de transmission et d</w:t>
      </w:r>
      <w:r>
        <w:t>’</w:t>
      </w:r>
      <w:r w:rsidRPr="00A14F8E">
        <w:t>archivage des données, …</w:t>
      </w:r>
    </w:p>
    <w:p w14:paraId="1518A95E" w14:textId="77777777" w:rsidR="00781FDA" w:rsidRPr="00A14F8E" w:rsidRDefault="00781FDA" w:rsidP="00781FDA">
      <w:pPr>
        <w:pStyle w:val="Sansinterligne"/>
        <w:numPr>
          <w:ilvl w:val="0"/>
          <w:numId w:val="6"/>
        </w:numPr>
        <w:jc w:val="both"/>
      </w:pPr>
      <w:r w:rsidRPr="00A14F8E">
        <w:t>Observation et étude des mutations et impacts du numérique pour y apporter des régulations, des accompagnements (approche globale)</w:t>
      </w:r>
      <w:r>
        <w:t>,</w:t>
      </w:r>
      <w:r w:rsidRPr="00A14F8E">
        <w:t xml:space="preserve"> </w:t>
      </w:r>
    </w:p>
    <w:p w14:paraId="6E263C8F" w14:textId="77777777" w:rsidR="00781FDA" w:rsidRPr="00A14F8E" w:rsidRDefault="00781FDA" w:rsidP="00781FDA">
      <w:pPr>
        <w:pStyle w:val="Sansinterligne"/>
        <w:numPr>
          <w:ilvl w:val="0"/>
          <w:numId w:val="6"/>
        </w:numPr>
        <w:jc w:val="both"/>
      </w:pPr>
      <w:r w:rsidRPr="00A14F8E">
        <w:t>Renforcement des outils partagés de connaissance et d'animation des territoires</w:t>
      </w:r>
      <w:r>
        <w:t>,</w:t>
      </w:r>
    </w:p>
    <w:p w14:paraId="4BEE29BE" w14:textId="77777777" w:rsidR="00781FDA" w:rsidRPr="00A14F8E" w:rsidRDefault="00781FDA" w:rsidP="00781FDA">
      <w:pPr>
        <w:pStyle w:val="Sansinterligne"/>
        <w:numPr>
          <w:ilvl w:val="0"/>
          <w:numId w:val="6"/>
        </w:numPr>
        <w:jc w:val="both"/>
      </w:pPr>
      <w:r w:rsidRPr="00A14F8E">
        <w:t>Constitution de jeux de données d'intérêt régional en open data et renforcement des outils partagés de connaissance et d'animation des territoires</w:t>
      </w:r>
      <w:r>
        <w:t>.</w:t>
      </w:r>
    </w:p>
    <w:p w14:paraId="0AC4382A" w14:textId="77777777" w:rsidR="00781FDA" w:rsidRDefault="00781FDA" w:rsidP="00781FDA">
      <w:pPr>
        <w:pStyle w:val="Sansinterligne"/>
        <w:jc w:val="both"/>
      </w:pPr>
    </w:p>
    <w:p w14:paraId="24AB6A71" w14:textId="77777777" w:rsidR="00781FDA" w:rsidRPr="004A7CAA" w:rsidRDefault="00781FDA" w:rsidP="00781FDA">
      <w:pPr>
        <w:pStyle w:val="Sansinterligne"/>
        <w:shd w:val="clear" w:color="auto" w:fill="DEEAF6" w:themeFill="accent5" w:themeFillTint="33"/>
        <w:jc w:val="both"/>
        <w:rPr>
          <w:b/>
          <w:bCs/>
          <w:color w:val="002060"/>
          <w:sz w:val="28"/>
          <w:szCs w:val="28"/>
        </w:rPr>
      </w:pPr>
      <w:r w:rsidRPr="004A7CAA">
        <w:rPr>
          <w:b/>
          <w:bCs/>
          <w:color w:val="FFFFFF" w:themeColor="background1"/>
          <w:sz w:val="28"/>
          <w:szCs w:val="28"/>
          <w:shd w:val="clear" w:color="auto" w:fill="002060"/>
        </w:rPr>
        <w:t xml:space="preserve">QUOI ? </w:t>
      </w:r>
      <w:r>
        <w:rPr>
          <w:b/>
          <w:bCs/>
          <w:color w:val="002060"/>
          <w:sz w:val="28"/>
          <w:szCs w:val="28"/>
        </w:rPr>
        <w:t xml:space="preserve"> Description des interventions soutenues dans le Programme </w:t>
      </w:r>
    </w:p>
    <w:p w14:paraId="5F1F39F4" w14:textId="77777777" w:rsidR="00781FDA" w:rsidRDefault="00781FDA" w:rsidP="00781FDA">
      <w:pPr>
        <w:pStyle w:val="Sansinterligne"/>
        <w:jc w:val="both"/>
      </w:pPr>
    </w:p>
    <w:p w14:paraId="4BFF3BBA" w14:textId="77777777" w:rsidR="00781FDA" w:rsidRPr="00FE604E" w:rsidRDefault="00781FDA" w:rsidP="00781FDA">
      <w:pPr>
        <w:pStyle w:val="Sansinterligne"/>
        <w:jc w:val="both"/>
        <w:rPr>
          <w:b/>
          <w:bCs/>
          <w:color w:val="002060"/>
        </w:rPr>
      </w:pPr>
      <w:r w:rsidRPr="00FE604E">
        <w:rPr>
          <w:b/>
          <w:bCs/>
          <w:color w:val="002060"/>
        </w:rPr>
        <w:t>1 Création d’infrastructures au service de la souveraineté locale en matière de données</w:t>
      </w:r>
    </w:p>
    <w:p w14:paraId="19A3329A" w14:textId="77777777" w:rsidR="00781FDA" w:rsidRPr="00FE604E" w:rsidRDefault="00781FDA" w:rsidP="00781FDA">
      <w:pPr>
        <w:pStyle w:val="Sansinterligne"/>
        <w:jc w:val="both"/>
        <w:rPr>
          <w:color w:val="000000" w:themeColor="text1"/>
        </w:rPr>
      </w:pPr>
    </w:p>
    <w:p w14:paraId="24D9043B" w14:textId="77777777" w:rsidR="00781FDA" w:rsidRPr="00E7247C" w:rsidRDefault="00781FDA" w:rsidP="00781FDA">
      <w:pPr>
        <w:pStyle w:val="Sansinterligne"/>
        <w:numPr>
          <w:ilvl w:val="0"/>
          <w:numId w:val="7"/>
        </w:numPr>
        <w:jc w:val="both"/>
        <w:rPr>
          <w:color w:val="000000" w:themeColor="text1"/>
        </w:rPr>
      </w:pPr>
      <w:r w:rsidRPr="00E7247C">
        <w:rPr>
          <w:color w:val="000000" w:themeColor="text1"/>
        </w:rPr>
        <w:t>Financement d’un data center au BRGM à Orléans au service de la communauté régionale d’enseignement supérieur et de recherche et des autres acteurs publics et privés.</w:t>
      </w:r>
    </w:p>
    <w:p w14:paraId="34840D72" w14:textId="77777777" w:rsidR="00781FDA" w:rsidRPr="007875C5" w:rsidRDefault="00781FDA" w:rsidP="00781FDA">
      <w:pPr>
        <w:pStyle w:val="Sansinterligne"/>
        <w:jc w:val="both"/>
        <w:rPr>
          <w:color w:val="000000" w:themeColor="text1"/>
        </w:rPr>
      </w:pPr>
    </w:p>
    <w:p w14:paraId="4904A93A" w14:textId="77777777" w:rsidR="00781FDA" w:rsidRPr="004F0DC0" w:rsidRDefault="00781FDA" w:rsidP="00781FDA">
      <w:pPr>
        <w:pStyle w:val="Sansinterligne"/>
        <w:jc w:val="both"/>
        <w:rPr>
          <w:b/>
          <w:bCs/>
          <w:color w:val="002060"/>
        </w:rPr>
      </w:pPr>
      <w:r w:rsidRPr="004F0DC0">
        <w:rPr>
          <w:b/>
          <w:bCs/>
          <w:color w:val="002060"/>
        </w:rPr>
        <w:t xml:space="preserve">2 Création de nouveaux services à partir des données locales au profit des habitants et entreprises du territoires </w:t>
      </w:r>
    </w:p>
    <w:p w14:paraId="52DCF59A" w14:textId="77777777" w:rsidR="00781FDA" w:rsidRDefault="00781FDA" w:rsidP="00781FDA">
      <w:pPr>
        <w:pStyle w:val="Sansinterligne"/>
        <w:jc w:val="both"/>
        <w:rPr>
          <w:color w:val="000000" w:themeColor="text1"/>
        </w:rPr>
      </w:pPr>
    </w:p>
    <w:p w14:paraId="01C7057E" w14:textId="77777777" w:rsidR="00781FDA" w:rsidRPr="00FE604E" w:rsidRDefault="00781FDA" w:rsidP="00781FDA">
      <w:pPr>
        <w:pStyle w:val="Sansinterligne"/>
        <w:numPr>
          <w:ilvl w:val="0"/>
          <w:numId w:val="8"/>
        </w:numPr>
        <w:jc w:val="both"/>
        <w:rPr>
          <w:color w:val="000000" w:themeColor="text1"/>
        </w:rPr>
      </w:pPr>
      <w:r>
        <w:rPr>
          <w:color w:val="000000" w:themeColor="text1"/>
        </w:rPr>
        <w:t>I</w:t>
      </w:r>
      <w:r w:rsidRPr="00FE604E">
        <w:rPr>
          <w:color w:val="000000" w:themeColor="text1"/>
        </w:rPr>
        <w:t xml:space="preserve">nformation, </w:t>
      </w:r>
    </w:p>
    <w:p w14:paraId="4B2A5F81" w14:textId="77777777" w:rsidR="00781FDA" w:rsidRPr="00FE604E" w:rsidRDefault="00781FDA" w:rsidP="00781FDA">
      <w:pPr>
        <w:pStyle w:val="Sansinterligne"/>
        <w:numPr>
          <w:ilvl w:val="0"/>
          <w:numId w:val="8"/>
        </w:numPr>
        <w:jc w:val="both"/>
        <w:rPr>
          <w:color w:val="000000" w:themeColor="text1"/>
        </w:rPr>
      </w:pPr>
      <w:r>
        <w:rPr>
          <w:color w:val="000000" w:themeColor="text1"/>
        </w:rPr>
        <w:t>M</w:t>
      </w:r>
      <w:r w:rsidRPr="00FE604E">
        <w:rPr>
          <w:color w:val="000000" w:themeColor="text1"/>
        </w:rPr>
        <w:t xml:space="preserve">obilisation, </w:t>
      </w:r>
    </w:p>
    <w:p w14:paraId="339EC291" w14:textId="77777777" w:rsidR="00781FDA" w:rsidRPr="00FE604E" w:rsidRDefault="00781FDA" w:rsidP="00781FDA">
      <w:pPr>
        <w:pStyle w:val="Sansinterligne"/>
        <w:numPr>
          <w:ilvl w:val="0"/>
          <w:numId w:val="8"/>
        </w:numPr>
        <w:jc w:val="both"/>
        <w:rPr>
          <w:color w:val="000000" w:themeColor="text1"/>
        </w:rPr>
      </w:pPr>
      <w:r>
        <w:rPr>
          <w:color w:val="000000" w:themeColor="text1"/>
        </w:rPr>
        <w:t>D</w:t>
      </w:r>
      <w:r w:rsidRPr="00FE604E">
        <w:rPr>
          <w:color w:val="000000" w:themeColor="text1"/>
        </w:rPr>
        <w:t xml:space="preserve">ispositifs d’alerte, </w:t>
      </w:r>
    </w:p>
    <w:p w14:paraId="6C9AF1F7" w14:textId="77777777" w:rsidR="00781FDA" w:rsidRPr="00FE604E" w:rsidRDefault="00781FDA" w:rsidP="00781FDA">
      <w:pPr>
        <w:pStyle w:val="Sansinterligne"/>
        <w:numPr>
          <w:ilvl w:val="0"/>
          <w:numId w:val="8"/>
        </w:numPr>
        <w:jc w:val="both"/>
        <w:rPr>
          <w:color w:val="000000" w:themeColor="text1"/>
        </w:rPr>
      </w:pPr>
      <w:r>
        <w:rPr>
          <w:color w:val="000000" w:themeColor="text1"/>
        </w:rPr>
        <w:t>D</w:t>
      </w:r>
      <w:r w:rsidRPr="00FE604E">
        <w:rPr>
          <w:color w:val="000000" w:themeColor="text1"/>
        </w:rPr>
        <w:t>émarches participatives</w:t>
      </w:r>
      <w:r>
        <w:rPr>
          <w:color w:val="000000" w:themeColor="text1"/>
        </w:rPr>
        <w:t>,</w:t>
      </w:r>
    </w:p>
    <w:p w14:paraId="0F4180E7" w14:textId="77777777" w:rsidR="00781FDA" w:rsidRPr="00FE604E" w:rsidRDefault="00781FDA" w:rsidP="00781FDA">
      <w:pPr>
        <w:pStyle w:val="Sansinterligne"/>
        <w:numPr>
          <w:ilvl w:val="0"/>
          <w:numId w:val="8"/>
        </w:numPr>
        <w:jc w:val="both"/>
        <w:rPr>
          <w:color w:val="000000" w:themeColor="text1"/>
        </w:rPr>
      </w:pPr>
      <w:r>
        <w:rPr>
          <w:color w:val="000000" w:themeColor="text1"/>
        </w:rPr>
        <w:lastRenderedPageBreak/>
        <w:t>E</w:t>
      </w:r>
      <w:r w:rsidRPr="00FE604E">
        <w:rPr>
          <w:color w:val="000000" w:themeColor="text1"/>
        </w:rPr>
        <w:t>xpérimentations, dont outils d’Intelligence Artificielle</w:t>
      </w:r>
      <w:r>
        <w:rPr>
          <w:color w:val="000000" w:themeColor="text1"/>
        </w:rPr>
        <w:t>,</w:t>
      </w:r>
    </w:p>
    <w:p w14:paraId="5EFACE3F" w14:textId="77777777" w:rsidR="00781FDA" w:rsidRPr="00FE604E" w:rsidRDefault="00781FDA" w:rsidP="00781FDA">
      <w:pPr>
        <w:pStyle w:val="Sansinterligne"/>
        <w:numPr>
          <w:ilvl w:val="0"/>
          <w:numId w:val="8"/>
        </w:numPr>
        <w:jc w:val="both"/>
        <w:rPr>
          <w:color w:val="000000" w:themeColor="text1"/>
        </w:rPr>
      </w:pPr>
      <w:r w:rsidRPr="00FE604E">
        <w:rPr>
          <w:color w:val="000000" w:themeColor="text1"/>
        </w:rPr>
        <w:t>Plate-forme et réservoirs de données et approches « big-data »</w:t>
      </w:r>
      <w:r>
        <w:rPr>
          <w:color w:val="000000" w:themeColor="text1"/>
        </w:rPr>
        <w:t>.</w:t>
      </w:r>
    </w:p>
    <w:p w14:paraId="56C726CB" w14:textId="77777777" w:rsidR="00781FDA" w:rsidRPr="00FE604E" w:rsidRDefault="00781FDA" w:rsidP="00781FDA">
      <w:pPr>
        <w:pStyle w:val="Sansinterligne"/>
        <w:jc w:val="both"/>
        <w:rPr>
          <w:color w:val="000000" w:themeColor="text1"/>
        </w:rPr>
      </w:pPr>
    </w:p>
    <w:p w14:paraId="312826C5" w14:textId="77777777" w:rsidR="00781FDA" w:rsidRPr="0079168D" w:rsidRDefault="00781FDA" w:rsidP="00781FDA">
      <w:pPr>
        <w:pStyle w:val="Sansinterligne"/>
        <w:jc w:val="both"/>
        <w:rPr>
          <w:b/>
          <w:bCs/>
          <w:color w:val="002060"/>
        </w:rPr>
      </w:pPr>
      <w:r w:rsidRPr="0079168D">
        <w:rPr>
          <w:b/>
          <w:bCs/>
          <w:color w:val="002060"/>
        </w:rPr>
        <w:t xml:space="preserve">3 Mutualisation et animation de la communauté régionale de la donnée à travers notamment une plateforme géomatique régionale dédiée à la connaissance des territoires pour améliorer l’aide à la décision publique </w:t>
      </w:r>
    </w:p>
    <w:p w14:paraId="6C64120E" w14:textId="77777777" w:rsidR="00781FDA" w:rsidRDefault="00781FDA" w:rsidP="00781FDA">
      <w:pPr>
        <w:pStyle w:val="Sansinterligne"/>
        <w:jc w:val="both"/>
        <w:rPr>
          <w:color w:val="000000" w:themeColor="text1"/>
        </w:rPr>
      </w:pPr>
    </w:p>
    <w:p w14:paraId="56158FA8" w14:textId="77777777" w:rsidR="00781FDA" w:rsidRPr="00FE604E" w:rsidRDefault="00781FDA" w:rsidP="00781FDA">
      <w:pPr>
        <w:pStyle w:val="Sansinterligne"/>
        <w:numPr>
          <w:ilvl w:val="0"/>
          <w:numId w:val="9"/>
        </w:numPr>
        <w:jc w:val="both"/>
        <w:rPr>
          <w:color w:val="000000" w:themeColor="text1"/>
        </w:rPr>
      </w:pPr>
      <w:r w:rsidRPr="00FE604E">
        <w:rPr>
          <w:color w:val="000000" w:themeColor="text1"/>
        </w:rPr>
        <w:t xml:space="preserve">Acquisition de référentiels, </w:t>
      </w:r>
    </w:p>
    <w:p w14:paraId="14350184" w14:textId="77777777" w:rsidR="00781FDA" w:rsidRPr="00FE604E" w:rsidRDefault="00781FDA" w:rsidP="00781FDA">
      <w:pPr>
        <w:pStyle w:val="Sansinterligne"/>
        <w:numPr>
          <w:ilvl w:val="0"/>
          <w:numId w:val="9"/>
        </w:numPr>
        <w:jc w:val="both"/>
        <w:rPr>
          <w:color w:val="000000" w:themeColor="text1"/>
        </w:rPr>
      </w:pPr>
      <w:r>
        <w:rPr>
          <w:color w:val="000000" w:themeColor="text1"/>
        </w:rPr>
        <w:t>D</w:t>
      </w:r>
      <w:r w:rsidRPr="00FE604E">
        <w:rPr>
          <w:color w:val="000000" w:themeColor="text1"/>
        </w:rPr>
        <w:t>éveloppement d’applications/logiciels</w:t>
      </w:r>
      <w:r>
        <w:rPr>
          <w:color w:val="000000" w:themeColor="text1"/>
        </w:rPr>
        <w:t>,</w:t>
      </w:r>
    </w:p>
    <w:p w14:paraId="5087E47E" w14:textId="77777777" w:rsidR="00781FDA" w:rsidRPr="00FE604E" w:rsidRDefault="00781FDA" w:rsidP="00781FDA">
      <w:pPr>
        <w:pStyle w:val="Sansinterligne"/>
        <w:numPr>
          <w:ilvl w:val="0"/>
          <w:numId w:val="9"/>
        </w:numPr>
        <w:jc w:val="both"/>
        <w:rPr>
          <w:color w:val="000000" w:themeColor="text1"/>
        </w:rPr>
      </w:pPr>
      <w:r w:rsidRPr="00FE604E">
        <w:rPr>
          <w:color w:val="000000" w:themeColor="text1"/>
        </w:rPr>
        <w:t>Constitution de jeux de données d'intérêt régional en open data</w:t>
      </w:r>
      <w:r>
        <w:rPr>
          <w:color w:val="000000" w:themeColor="text1"/>
        </w:rPr>
        <w:t>,</w:t>
      </w:r>
      <w:r w:rsidRPr="00FE604E">
        <w:rPr>
          <w:color w:val="000000" w:themeColor="text1"/>
        </w:rPr>
        <w:t xml:space="preserve"> </w:t>
      </w:r>
    </w:p>
    <w:p w14:paraId="085590D1" w14:textId="77777777" w:rsidR="00781FDA" w:rsidRPr="00FE604E" w:rsidRDefault="00781FDA" w:rsidP="00781FDA">
      <w:pPr>
        <w:pStyle w:val="Sansinterligne"/>
        <w:numPr>
          <w:ilvl w:val="0"/>
          <w:numId w:val="9"/>
        </w:numPr>
        <w:jc w:val="both"/>
        <w:rPr>
          <w:color w:val="000000" w:themeColor="text1"/>
        </w:rPr>
      </w:pPr>
      <w:r w:rsidRPr="00FE604E">
        <w:rPr>
          <w:color w:val="000000" w:themeColor="text1"/>
        </w:rPr>
        <w:t>Développement des projets Open data et la donnée en général, au service des citoyens et de la recherche</w:t>
      </w:r>
      <w:r>
        <w:rPr>
          <w:color w:val="000000" w:themeColor="text1"/>
        </w:rPr>
        <w:t>.</w:t>
      </w:r>
    </w:p>
    <w:p w14:paraId="55A149A3" w14:textId="77777777" w:rsidR="00781FDA" w:rsidRPr="00FE604E" w:rsidRDefault="00781FDA" w:rsidP="00781FDA">
      <w:pPr>
        <w:pStyle w:val="Sansinterligne"/>
        <w:jc w:val="both"/>
        <w:rPr>
          <w:color w:val="000000" w:themeColor="text1"/>
        </w:rPr>
      </w:pPr>
    </w:p>
    <w:p w14:paraId="2792D665" w14:textId="77777777" w:rsidR="00781FDA" w:rsidRDefault="00781FDA" w:rsidP="00781FDA">
      <w:pPr>
        <w:pStyle w:val="Sansinterligne"/>
        <w:jc w:val="both"/>
        <w:rPr>
          <w:b/>
          <w:bCs/>
          <w:color w:val="002060"/>
        </w:rPr>
      </w:pPr>
      <w:r w:rsidRPr="006C740B">
        <w:rPr>
          <w:b/>
          <w:bCs/>
          <w:color w:val="002060"/>
        </w:rPr>
        <w:t xml:space="preserve">4 Accompagnement des territoires dans la mise en œuvre de leurs stratégies data Smart City / Territoires intelligents </w:t>
      </w:r>
    </w:p>
    <w:p w14:paraId="4737B4E9" w14:textId="77777777" w:rsidR="00781FDA" w:rsidRPr="006C740B" w:rsidRDefault="00781FDA" w:rsidP="00781FDA">
      <w:pPr>
        <w:pStyle w:val="Sansinterligne"/>
        <w:jc w:val="both"/>
        <w:rPr>
          <w:b/>
          <w:bCs/>
          <w:color w:val="002060"/>
        </w:rPr>
      </w:pPr>
    </w:p>
    <w:p w14:paraId="3F242EC7" w14:textId="77777777" w:rsidR="00781FDA" w:rsidRPr="00FE604E" w:rsidRDefault="00781FDA" w:rsidP="00781FDA">
      <w:pPr>
        <w:pStyle w:val="Sansinterligne"/>
        <w:numPr>
          <w:ilvl w:val="0"/>
          <w:numId w:val="10"/>
        </w:numPr>
        <w:jc w:val="both"/>
        <w:rPr>
          <w:color w:val="000000" w:themeColor="text1"/>
        </w:rPr>
      </w:pPr>
      <w:r w:rsidRPr="00FE604E">
        <w:rPr>
          <w:color w:val="000000" w:themeColor="text1"/>
        </w:rPr>
        <w:t>Soutien aux projets numériques en faveur de la transition écologique et énergétique (</w:t>
      </w:r>
      <w:proofErr w:type="spellStart"/>
      <w:r w:rsidRPr="00FE604E">
        <w:rPr>
          <w:color w:val="000000" w:themeColor="text1"/>
        </w:rPr>
        <w:t>Climate</w:t>
      </w:r>
      <w:proofErr w:type="spellEnd"/>
      <w:r w:rsidRPr="00FE604E">
        <w:rPr>
          <w:color w:val="000000" w:themeColor="text1"/>
        </w:rPr>
        <w:t xml:space="preserve"> Data Hub) </w:t>
      </w:r>
    </w:p>
    <w:p w14:paraId="6A2363DA" w14:textId="77777777" w:rsidR="00781FDA" w:rsidRPr="00FE604E" w:rsidRDefault="00781FDA" w:rsidP="00781FDA">
      <w:pPr>
        <w:pStyle w:val="Sansinterligne"/>
        <w:numPr>
          <w:ilvl w:val="0"/>
          <w:numId w:val="10"/>
        </w:numPr>
        <w:jc w:val="both"/>
        <w:rPr>
          <w:color w:val="000000" w:themeColor="text1"/>
        </w:rPr>
      </w:pPr>
      <w:r w:rsidRPr="00FE604E">
        <w:rPr>
          <w:color w:val="000000" w:themeColor="text1"/>
        </w:rPr>
        <w:t>Expérimentation de réseaux de capteurs innovants (énergie, gestion de l’eau, suivi de la biodiversité, flux de transports…)</w:t>
      </w:r>
    </w:p>
    <w:p w14:paraId="6ABAA10C" w14:textId="77777777" w:rsidR="00781FDA" w:rsidRPr="00FE604E" w:rsidRDefault="00781FDA" w:rsidP="00781FDA">
      <w:pPr>
        <w:pStyle w:val="Sansinterligne"/>
        <w:jc w:val="both"/>
        <w:rPr>
          <w:color w:val="000000" w:themeColor="text1"/>
        </w:rPr>
      </w:pPr>
    </w:p>
    <w:p w14:paraId="14C1370F" w14:textId="77777777" w:rsidR="00781FDA" w:rsidRPr="006C740B" w:rsidRDefault="00781FDA" w:rsidP="00781FDA">
      <w:pPr>
        <w:pStyle w:val="Sansinterligne"/>
        <w:jc w:val="both"/>
        <w:rPr>
          <w:b/>
          <w:bCs/>
          <w:color w:val="002060"/>
        </w:rPr>
      </w:pPr>
      <w:r w:rsidRPr="006C740B">
        <w:rPr>
          <w:b/>
          <w:bCs/>
          <w:color w:val="002060"/>
        </w:rPr>
        <w:t>5 Organisation d’une réflexion partagée et projets autour de l’usage de la donnée (cadre éthique, propriété, tiers de confiance, acceptabilité…)</w:t>
      </w:r>
    </w:p>
    <w:p w14:paraId="5369EAED" w14:textId="77777777" w:rsidR="00781FDA" w:rsidRDefault="00781FDA" w:rsidP="00781FDA">
      <w:pPr>
        <w:pStyle w:val="Sansinterligne"/>
        <w:jc w:val="both"/>
        <w:rPr>
          <w:color w:val="000000" w:themeColor="text1"/>
        </w:rPr>
      </w:pPr>
    </w:p>
    <w:p w14:paraId="216673F2" w14:textId="77777777" w:rsidR="00781FDA" w:rsidRPr="00FE604E" w:rsidRDefault="00781FDA" w:rsidP="00781FDA">
      <w:pPr>
        <w:pStyle w:val="Sansinterligne"/>
        <w:numPr>
          <w:ilvl w:val="0"/>
          <w:numId w:val="9"/>
        </w:numPr>
        <w:jc w:val="both"/>
        <w:rPr>
          <w:color w:val="000000" w:themeColor="text1"/>
        </w:rPr>
      </w:pPr>
      <w:r w:rsidRPr="00FE604E">
        <w:rPr>
          <w:color w:val="000000" w:themeColor="text1"/>
        </w:rPr>
        <w:t>Animation de communautés numériques autour des questions d’éthique et d’usage de la donnée</w:t>
      </w:r>
      <w:r>
        <w:rPr>
          <w:color w:val="000000" w:themeColor="text1"/>
        </w:rPr>
        <w:t>,</w:t>
      </w:r>
    </w:p>
    <w:p w14:paraId="727AC954" w14:textId="77777777" w:rsidR="00781FDA" w:rsidRPr="00FE604E" w:rsidRDefault="00781FDA" w:rsidP="00781FDA">
      <w:pPr>
        <w:pStyle w:val="Sansinterligne"/>
        <w:numPr>
          <w:ilvl w:val="0"/>
          <w:numId w:val="9"/>
        </w:numPr>
        <w:jc w:val="both"/>
        <w:rPr>
          <w:color w:val="000000" w:themeColor="text1"/>
        </w:rPr>
      </w:pPr>
      <w:r w:rsidRPr="00FE604E">
        <w:rPr>
          <w:color w:val="000000" w:themeColor="text1"/>
        </w:rPr>
        <w:t>Accompagnement à l’émergence de tiers de confiance régionaux</w:t>
      </w:r>
      <w:r>
        <w:rPr>
          <w:color w:val="000000" w:themeColor="text1"/>
        </w:rPr>
        <w:t>.</w:t>
      </w:r>
    </w:p>
    <w:p w14:paraId="6B8A811E" w14:textId="77777777" w:rsidR="00781FDA" w:rsidRPr="00FE604E" w:rsidRDefault="00781FDA" w:rsidP="00781FDA">
      <w:pPr>
        <w:pStyle w:val="Sansinterligne"/>
        <w:jc w:val="both"/>
        <w:rPr>
          <w:color w:val="000000" w:themeColor="text1"/>
        </w:rPr>
      </w:pPr>
      <w:r w:rsidRPr="00FE604E">
        <w:rPr>
          <w:color w:val="000000" w:themeColor="text1"/>
        </w:rPr>
        <w:tab/>
      </w:r>
    </w:p>
    <w:p w14:paraId="3B88416D" w14:textId="77777777" w:rsidR="00781FDA" w:rsidRPr="006C740B" w:rsidRDefault="00781FDA" w:rsidP="00781FDA">
      <w:pPr>
        <w:pStyle w:val="Sansinterligne"/>
        <w:jc w:val="both"/>
        <w:rPr>
          <w:b/>
          <w:bCs/>
          <w:color w:val="002060"/>
        </w:rPr>
      </w:pPr>
      <w:r w:rsidRPr="006C740B">
        <w:rPr>
          <w:b/>
          <w:bCs/>
          <w:color w:val="002060"/>
        </w:rPr>
        <w:t>6 Création de réseau</w:t>
      </w:r>
      <w:r>
        <w:rPr>
          <w:b/>
          <w:bCs/>
          <w:color w:val="002060"/>
        </w:rPr>
        <w:t>x</w:t>
      </w:r>
      <w:r w:rsidRPr="006C740B">
        <w:rPr>
          <w:b/>
          <w:bCs/>
          <w:color w:val="002060"/>
        </w:rPr>
        <w:t xml:space="preserve"> à haute performance pour la recherche et l’éducation </w:t>
      </w:r>
    </w:p>
    <w:p w14:paraId="7542D13B" w14:textId="77777777" w:rsidR="00781FDA" w:rsidRDefault="00781FDA" w:rsidP="00781FDA">
      <w:pPr>
        <w:pStyle w:val="Sansinterligne"/>
        <w:jc w:val="both"/>
        <w:rPr>
          <w:color w:val="000000" w:themeColor="text1"/>
        </w:rPr>
      </w:pPr>
    </w:p>
    <w:p w14:paraId="1F61AE16" w14:textId="77777777" w:rsidR="00781FDA" w:rsidRDefault="00781FDA" w:rsidP="00781FDA">
      <w:pPr>
        <w:pStyle w:val="Sansinterligne"/>
        <w:numPr>
          <w:ilvl w:val="0"/>
          <w:numId w:val="9"/>
        </w:numPr>
        <w:jc w:val="both"/>
        <w:rPr>
          <w:color w:val="000000" w:themeColor="text1"/>
        </w:rPr>
      </w:pPr>
      <w:r w:rsidRPr="00FE604E">
        <w:rPr>
          <w:color w:val="000000" w:themeColor="text1"/>
        </w:rPr>
        <w:t xml:space="preserve">Connecter les acteurs de la recherche et de l’enseignement, échange de données à haute performance et sécurisé  </w:t>
      </w:r>
    </w:p>
    <w:p w14:paraId="016039F8" w14:textId="77777777" w:rsidR="00781FDA" w:rsidRDefault="00781FDA" w:rsidP="00781FDA">
      <w:pPr>
        <w:pStyle w:val="Sansinterligne"/>
        <w:jc w:val="both"/>
      </w:pPr>
    </w:p>
    <w:p w14:paraId="639C8681" w14:textId="77777777" w:rsidR="00781FDA" w:rsidRPr="002C70D5" w:rsidRDefault="00781FDA" w:rsidP="00781FDA">
      <w:pPr>
        <w:pStyle w:val="Sansinterligne"/>
        <w:shd w:val="clear" w:color="auto" w:fill="B3FFEB"/>
        <w:jc w:val="both"/>
        <w:rPr>
          <w:b/>
          <w:bCs/>
          <w:sz w:val="28"/>
          <w:szCs w:val="28"/>
        </w:rPr>
      </w:pPr>
      <w:r w:rsidRPr="002C70D5">
        <w:rPr>
          <w:b/>
          <w:bCs/>
          <w:color w:val="FFFFFF" w:themeColor="background1"/>
          <w:sz w:val="28"/>
          <w:szCs w:val="28"/>
          <w:shd w:val="clear" w:color="auto" w:fill="00CC99"/>
        </w:rPr>
        <w:t xml:space="preserve">QUI ? </w:t>
      </w:r>
      <w:r w:rsidRPr="002C70D5">
        <w:rPr>
          <w:b/>
          <w:bCs/>
          <w:sz w:val="28"/>
          <w:szCs w:val="28"/>
        </w:rPr>
        <w:t xml:space="preserve"> </w:t>
      </w:r>
      <w:r w:rsidRPr="002C70D5">
        <w:rPr>
          <w:b/>
          <w:bCs/>
          <w:color w:val="002060"/>
          <w:sz w:val="28"/>
          <w:szCs w:val="28"/>
        </w:rPr>
        <w:t>Bénéficiaires potentiels</w:t>
      </w:r>
    </w:p>
    <w:p w14:paraId="06E0F18A" w14:textId="77777777" w:rsidR="00781FDA" w:rsidRDefault="00781FDA" w:rsidP="00781FDA">
      <w:pPr>
        <w:pStyle w:val="Sansinterligne"/>
        <w:jc w:val="both"/>
      </w:pPr>
    </w:p>
    <w:p w14:paraId="7E9EDE92" w14:textId="77777777" w:rsidR="00781FDA" w:rsidRDefault="00781FDA" w:rsidP="00781FDA">
      <w:pPr>
        <w:pStyle w:val="Sansinterligne"/>
        <w:numPr>
          <w:ilvl w:val="0"/>
          <w:numId w:val="11"/>
        </w:numPr>
        <w:jc w:val="both"/>
      </w:pPr>
      <w:r>
        <w:t>Collectivités territoriales et leur groupement,</w:t>
      </w:r>
    </w:p>
    <w:p w14:paraId="2FCD8405" w14:textId="77777777" w:rsidR="00781FDA" w:rsidRDefault="00781FDA" w:rsidP="00781FDA">
      <w:pPr>
        <w:pStyle w:val="Sansinterligne"/>
        <w:numPr>
          <w:ilvl w:val="0"/>
          <w:numId w:val="11"/>
        </w:numPr>
        <w:jc w:val="both"/>
      </w:pPr>
      <w:r>
        <w:t>Groupements d’Intérêt Public,</w:t>
      </w:r>
    </w:p>
    <w:p w14:paraId="7A4E8CC1" w14:textId="77777777" w:rsidR="00781FDA" w:rsidRDefault="00781FDA" w:rsidP="00781FDA">
      <w:pPr>
        <w:pStyle w:val="Sansinterligne"/>
        <w:numPr>
          <w:ilvl w:val="0"/>
          <w:numId w:val="11"/>
        </w:numPr>
        <w:jc w:val="both"/>
      </w:pPr>
      <w:r>
        <w:t>Associations,</w:t>
      </w:r>
    </w:p>
    <w:p w14:paraId="327AB942" w14:textId="77777777" w:rsidR="00781FDA" w:rsidRPr="00E7247C" w:rsidRDefault="00781FDA" w:rsidP="00781FDA">
      <w:pPr>
        <w:pStyle w:val="Sansinterligne"/>
        <w:numPr>
          <w:ilvl w:val="0"/>
          <w:numId w:val="11"/>
        </w:numPr>
        <w:jc w:val="both"/>
      </w:pPr>
      <w:r w:rsidRPr="00E7247C">
        <w:t>Entreprises (TPE/PME, ou ETI dans le cadre de projets collaboratifs impliquant des PME)</w:t>
      </w:r>
    </w:p>
    <w:p w14:paraId="2921D73E" w14:textId="77777777" w:rsidR="00781FDA" w:rsidRPr="00E7247C" w:rsidRDefault="00781FDA" w:rsidP="00781FDA">
      <w:pPr>
        <w:pStyle w:val="Paragraphedeliste"/>
        <w:numPr>
          <w:ilvl w:val="0"/>
          <w:numId w:val="11"/>
        </w:numPr>
        <w:spacing w:after="0"/>
        <w:rPr>
          <w:rFonts w:asciiTheme="minorHAnsi" w:hAnsiTheme="minorHAnsi" w:cstheme="minorHAnsi"/>
          <w:sz w:val="22"/>
        </w:rPr>
      </w:pPr>
      <w:r w:rsidRPr="00E7247C">
        <w:rPr>
          <w:rFonts w:asciiTheme="minorHAnsi" w:hAnsiTheme="minorHAnsi" w:cstheme="minorHAnsi"/>
          <w:sz w:val="22"/>
        </w:rPr>
        <w:t>Universités, et organismes de recherche (EPST, EPIC)</w:t>
      </w:r>
    </w:p>
    <w:p w14:paraId="124B3D31" w14:textId="77777777" w:rsidR="00781FDA" w:rsidRPr="00E7247C" w:rsidRDefault="00781FDA" w:rsidP="00781FDA">
      <w:pPr>
        <w:pStyle w:val="Sansinterligne"/>
        <w:numPr>
          <w:ilvl w:val="0"/>
          <w:numId w:val="11"/>
        </w:numPr>
        <w:jc w:val="both"/>
      </w:pPr>
      <w:r w:rsidRPr="00E7247C">
        <w:t xml:space="preserve">Etablissements publics  </w:t>
      </w:r>
    </w:p>
    <w:p w14:paraId="6B774835" w14:textId="77777777" w:rsidR="00781FDA" w:rsidRDefault="00781FDA" w:rsidP="00781FDA">
      <w:pPr>
        <w:pStyle w:val="Sansinterligne"/>
        <w:jc w:val="both"/>
      </w:pPr>
    </w:p>
    <w:p w14:paraId="5A19F710" w14:textId="77777777" w:rsidR="00781FDA" w:rsidRDefault="00781FDA" w:rsidP="00781FDA">
      <w:pPr>
        <w:pStyle w:val="Sansinterligne"/>
        <w:shd w:val="clear" w:color="auto" w:fill="C5F0FF"/>
        <w:jc w:val="both"/>
        <w:rPr>
          <w:b/>
          <w:bCs/>
          <w:color w:val="002060"/>
          <w:sz w:val="28"/>
          <w:szCs w:val="28"/>
        </w:rPr>
      </w:pPr>
      <w:r w:rsidRPr="002C70D5">
        <w:rPr>
          <w:b/>
          <w:bCs/>
          <w:color w:val="FFFFFF" w:themeColor="background1"/>
          <w:sz w:val="28"/>
          <w:szCs w:val="28"/>
          <w:shd w:val="clear" w:color="auto" w:fill="0099CC"/>
        </w:rPr>
        <w:t>O</w:t>
      </w:r>
      <w:r w:rsidRPr="002C70D5">
        <w:rPr>
          <w:rFonts w:cstheme="minorHAnsi"/>
          <w:b/>
          <w:bCs/>
          <w:color w:val="FFFFFF" w:themeColor="background1"/>
          <w:sz w:val="28"/>
          <w:szCs w:val="28"/>
          <w:shd w:val="clear" w:color="auto" w:fill="0099CC"/>
        </w:rPr>
        <w:t>Ù</w:t>
      </w:r>
      <w:r w:rsidRPr="002C70D5">
        <w:rPr>
          <w:b/>
          <w:bCs/>
          <w:color w:val="FFFFFF" w:themeColor="background1"/>
          <w:sz w:val="28"/>
          <w:szCs w:val="28"/>
          <w:shd w:val="clear" w:color="auto" w:fill="0099CC"/>
        </w:rPr>
        <w:t> ?</w:t>
      </w:r>
      <w:r w:rsidRPr="002C70D5">
        <w:rPr>
          <w:b/>
          <w:bCs/>
          <w:sz w:val="28"/>
          <w:szCs w:val="28"/>
          <w:shd w:val="clear" w:color="auto" w:fill="0099CC"/>
        </w:rPr>
        <w:t xml:space="preserve"> </w:t>
      </w:r>
      <w:r w:rsidRPr="002C70D5">
        <w:rPr>
          <w:b/>
          <w:bCs/>
          <w:sz w:val="28"/>
          <w:szCs w:val="28"/>
        </w:rPr>
        <w:t xml:space="preserve"> </w:t>
      </w:r>
      <w:r w:rsidRPr="002C70D5">
        <w:rPr>
          <w:b/>
          <w:bCs/>
          <w:color w:val="002060"/>
          <w:sz w:val="28"/>
          <w:szCs w:val="28"/>
        </w:rPr>
        <w:t>Territoires cibles</w:t>
      </w:r>
    </w:p>
    <w:p w14:paraId="31280A8A" w14:textId="77777777" w:rsidR="00781FDA" w:rsidRDefault="00781FDA" w:rsidP="00781FDA">
      <w:pPr>
        <w:pStyle w:val="Sansinterligne"/>
        <w:jc w:val="both"/>
      </w:pPr>
    </w:p>
    <w:p w14:paraId="68290EEC" w14:textId="77777777" w:rsidR="00781FDA" w:rsidRDefault="00781FDA" w:rsidP="00781FDA">
      <w:pPr>
        <w:pStyle w:val="Sansinterligne"/>
        <w:jc w:val="both"/>
      </w:pPr>
      <w:r>
        <w:t>Région Centre-Val de Loire</w:t>
      </w:r>
    </w:p>
    <w:p w14:paraId="0A2E55D2" w14:textId="77777777" w:rsidR="00781FDA" w:rsidRDefault="00781FDA" w:rsidP="00781FDA">
      <w:pPr>
        <w:pStyle w:val="Sansinterligne"/>
        <w:jc w:val="both"/>
      </w:pPr>
    </w:p>
    <w:p w14:paraId="2E9F03DA" w14:textId="77777777" w:rsidR="00781FDA" w:rsidRPr="002C70D5" w:rsidRDefault="00781FDA" w:rsidP="00781FD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Critères de sélection des projets</w:t>
      </w:r>
    </w:p>
    <w:p w14:paraId="25637C44" w14:textId="77777777" w:rsidR="00781FDA" w:rsidRDefault="00781FDA" w:rsidP="00781FDA">
      <w:pPr>
        <w:pStyle w:val="Sansinterligne"/>
      </w:pPr>
    </w:p>
    <w:p w14:paraId="74A30DC6" w14:textId="77777777" w:rsidR="00781FDA" w:rsidRDefault="00781FDA" w:rsidP="00781FDA">
      <w:pPr>
        <w:pStyle w:val="Sansinterligne"/>
      </w:pPr>
      <w:r w:rsidRPr="00484C28">
        <w:t>Le FEDER soutiendra :</w:t>
      </w:r>
    </w:p>
    <w:p w14:paraId="2E54534D" w14:textId="77777777" w:rsidR="00781FDA" w:rsidRPr="00484C28" w:rsidRDefault="00781FDA" w:rsidP="00781FDA">
      <w:pPr>
        <w:pStyle w:val="Sansinterligne"/>
        <w:numPr>
          <w:ilvl w:val="0"/>
          <w:numId w:val="11"/>
        </w:numPr>
        <w:jc w:val="both"/>
      </w:pPr>
      <w:r w:rsidRPr="00484C28">
        <w:t xml:space="preserve">Des projets, de nouveaux outils et des solutions numériques à caractère innovant, permettant de proposer une offre de service considérablement améliorée, à destination des PME, </w:t>
      </w:r>
      <w:r>
        <w:t xml:space="preserve">administrés, </w:t>
      </w:r>
      <w:r w:rsidRPr="00484C28">
        <w:t>acteurs publics, des associations et acteurs de la recherche et de l’innovation y compris des établissements d’enseignement supérieur,</w:t>
      </w:r>
    </w:p>
    <w:p w14:paraId="740C79E0" w14:textId="77777777" w:rsidR="00781FDA" w:rsidRPr="00484C28" w:rsidRDefault="00781FDA" w:rsidP="00781FDA">
      <w:pPr>
        <w:pStyle w:val="Sansinterligne"/>
        <w:numPr>
          <w:ilvl w:val="0"/>
          <w:numId w:val="11"/>
        </w:numPr>
        <w:jc w:val="both"/>
      </w:pPr>
      <w:r w:rsidRPr="00484C28">
        <w:t>Des équipements et infrastructures permettant l’exploitation et la valorisation des données</w:t>
      </w:r>
      <w:r>
        <w:t xml:space="preserve"> </w:t>
      </w:r>
      <w:bookmarkStart w:id="3" w:name="_Hlk156391955"/>
    </w:p>
    <w:bookmarkEnd w:id="3"/>
    <w:p w14:paraId="1DAC7C77" w14:textId="77777777" w:rsidR="00781FDA" w:rsidRPr="00484C28" w:rsidRDefault="00781FDA" w:rsidP="00781FDA">
      <w:pPr>
        <w:pStyle w:val="Sansinterligne"/>
        <w:numPr>
          <w:ilvl w:val="0"/>
          <w:numId w:val="11"/>
        </w:numPr>
        <w:jc w:val="both"/>
      </w:pPr>
      <w:r w:rsidRPr="00484C28">
        <w:t xml:space="preserve">Les initiatives (tiers lieux, communautés, …) favorisant l’innovation et les projets collaboratifs, </w:t>
      </w:r>
    </w:p>
    <w:p w14:paraId="7D2F9EE5" w14:textId="77777777" w:rsidR="00781FDA" w:rsidRPr="00484C28" w:rsidRDefault="00781FDA" w:rsidP="00781FDA">
      <w:pPr>
        <w:pStyle w:val="Sansinterligne"/>
        <w:numPr>
          <w:ilvl w:val="0"/>
          <w:numId w:val="11"/>
        </w:numPr>
      </w:pPr>
      <w:r w:rsidRPr="00484C28">
        <w:t>L’ingénierie logicielle au service des acteurs publics.</w:t>
      </w:r>
    </w:p>
    <w:p w14:paraId="26EFA3D7" w14:textId="77777777" w:rsidR="00781FDA" w:rsidRPr="00484C28" w:rsidRDefault="00781FDA" w:rsidP="00781FDA">
      <w:pPr>
        <w:pStyle w:val="Sansinterligne"/>
        <w:jc w:val="both"/>
      </w:pPr>
      <w:r w:rsidRPr="00484C28">
        <w:t xml:space="preserve">Ne seront pas soutenus : </w:t>
      </w:r>
    </w:p>
    <w:p w14:paraId="526D3144" w14:textId="77777777" w:rsidR="00781FDA" w:rsidRPr="00484C28" w:rsidRDefault="00781FDA" w:rsidP="00781FDA">
      <w:pPr>
        <w:pStyle w:val="Sansinterligne"/>
        <w:numPr>
          <w:ilvl w:val="0"/>
          <w:numId w:val="11"/>
        </w:numPr>
        <w:jc w:val="both"/>
      </w:pPr>
      <w:r w:rsidRPr="00484C28">
        <w:t>Les coûts de déploiement des systèmes informatiques, ni des équipements de télétravail,  </w:t>
      </w:r>
    </w:p>
    <w:p w14:paraId="388FB841" w14:textId="0F09D6C6" w:rsidR="00781FDA" w:rsidRDefault="00781FDA" w:rsidP="008A1670">
      <w:pPr>
        <w:pStyle w:val="Sansinterligne"/>
        <w:numPr>
          <w:ilvl w:val="0"/>
          <w:numId w:val="11"/>
        </w:numPr>
        <w:jc w:val="both"/>
      </w:pPr>
      <w:r w:rsidRPr="00484C28">
        <w:t>Les actions de formations numériques.</w:t>
      </w:r>
    </w:p>
    <w:p w14:paraId="7C9C61AA" w14:textId="77777777" w:rsidR="00781FDA" w:rsidRPr="002C70D5" w:rsidRDefault="00781FDA" w:rsidP="00781FD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lastRenderedPageBreak/>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Modalités de dépôt</w:t>
      </w:r>
    </w:p>
    <w:p w14:paraId="165B9E9C" w14:textId="77777777" w:rsidR="00781FDA" w:rsidRDefault="00781FDA" w:rsidP="00781FDA">
      <w:pPr>
        <w:pStyle w:val="Sansinterligne"/>
        <w:jc w:val="both"/>
      </w:pPr>
    </w:p>
    <w:p w14:paraId="53E09738" w14:textId="77777777" w:rsidR="00781FDA" w:rsidRDefault="00781FDA" w:rsidP="00781FDA">
      <w:pPr>
        <w:pStyle w:val="Sansinterligne"/>
        <w:jc w:val="both"/>
      </w:pPr>
      <w:r>
        <w:t xml:space="preserve">Guichet (au fil de l’eau) </w:t>
      </w:r>
    </w:p>
    <w:p w14:paraId="6A16234C" w14:textId="77777777" w:rsidR="00781FDA" w:rsidRDefault="00781FDA" w:rsidP="00781FDA">
      <w:pPr>
        <w:pStyle w:val="Sansinterligne"/>
        <w:jc w:val="both"/>
      </w:pPr>
    </w:p>
    <w:p w14:paraId="6E550049" w14:textId="77777777" w:rsidR="00781FDA" w:rsidRPr="002C70D5" w:rsidRDefault="00781FDA" w:rsidP="00781FD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Conditions favorisantes</w:t>
      </w:r>
    </w:p>
    <w:p w14:paraId="4DF8DD04" w14:textId="77777777" w:rsidR="00781FDA" w:rsidRDefault="00781FDA" w:rsidP="00781FDA">
      <w:pPr>
        <w:pStyle w:val="Sansinterligne"/>
        <w:jc w:val="both"/>
      </w:pPr>
    </w:p>
    <w:p w14:paraId="5F43BCE4" w14:textId="77777777" w:rsidR="00781FDA" w:rsidRDefault="00781FDA" w:rsidP="00781FDA">
      <w:pPr>
        <w:pStyle w:val="Sansinterligne"/>
        <w:jc w:val="both"/>
      </w:pPr>
      <w:r>
        <w:t>1.2 Plan national ou régional pour le haut débit</w:t>
      </w:r>
    </w:p>
    <w:p w14:paraId="44B259E2" w14:textId="77777777" w:rsidR="00781FDA" w:rsidRDefault="00781FDA" w:rsidP="00781FDA">
      <w:pPr>
        <w:pStyle w:val="Sansinterligne"/>
        <w:jc w:val="both"/>
      </w:pPr>
    </w:p>
    <w:p w14:paraId="092F11E4" w14:textId="77777777" w:rsidR="00781FDA" w:rsidRPr="002C70D5" w:rsidRDefault="00781FDA" w:rsidP="00781FD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Principes horizontaux</w:t>
      </w:r>
    </w:p>
    <w:p w14:paraId="6DCE02AF" w14:textId="77777777" w:rsidR="00781FDA" w:rsidRDefault="00781FDA" w:rsidP="00781FDA">
      <w:pPr>
        <w:pStyle w:val="Sansinterligne"/>
        <w:jc w:val="both"/>
      </w:pPr>
    </w:p>
    <w:p w14:paraId="1349EFE2" w14:textId="77777777" w:rsidR="00781FDA" w:rsidRPr="009325D3" w:rsidRDefault="00781FDA" w:rsidP="00781FDA">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168471C4" w14:textId="77777777" w:rsidR="00781FDA" w:rsidRDefault="00781FDA" w:rsidP="00781FDA">
      <w:pPr>
        <w:pStyle w:val="Sansinterligne"/>
        <w:jc w:val="both"/>
      </w:pPr>
    </w:p>
    <w:p w14:paraId="720D3CAC" w14:textId="77777777" w:rsidR="00781FDA" w:rsidRPr="002C70D5" w:rsidRDefault="00781FDA" w:rsidP="00781FD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Respect des règles européennes</w:t>
      </w:r>
    </w:p>
    <w:p w14:paraId="00DD95D6" w14:textId="77777777" w:rsidR="00781FDA" w:rsidRDefault="00781FDA" w:rsidP="00781FDA">
      <w:pPr>
        <w:pStyle w:val="Sansinterligne"/>
        <w:jc w:val="both"/>
      </w:pPr>
    </w:p>
    <w:p w14:paraId="4FC9F640" w14:textId="77777777" w:rsidR="00781FDA" w:rsidRPr="00C57CAD" w:rsidRDefault="00781FDA" w:rsidP="00781FDA">
      <w:pPr>
        <w:pStyle w:val="Sansinterligne"/>
        <w:jc w:val="both"/>
        <w:rPr>
          <w:b/>
          <w:bCs/>
          <w:color w:val="002060"/>
        </w:rPr>
      </w:pPr>
      <w:r w:rsidRPr="00C57CAD">
        <w:rPr>
          <w:b/>
          <w:bCs/>
          <w:color w:val="002060"/>
        </w:rPr>
        <w:t xml:space="preserve">Régimes d’aides d’état notamment mobilisables :  </w:t>
      </w:r>
    </w:p>
    <w:p w14:paraId="11F8E858" w14:textId="77777777" w:rsidR="00781FDA" w:rsidRDefault="00781FDA" w:rsidP="00781FDA">
      <w:pPr>
        <w:pStyle w:val="Sansinterligne"/>
        <w:numPr>
          <w:ilvl w:val="0"/>
          <w:numId w:val="1"/>
        </w:numPr>
        <w:jc w:val="both"/>
      </w:pPr>
      <w: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14F636E9" w14:textId="77777777" w:rsidR="00781FDA" w:rsidRDefault="00781FDA" w:rsidP="00781FDA">
      <w:pPr>
        <w:pStyle w:val="Sansinterligne"/>
        <w:numPr>
          <w:ilvl w:val="0"/>
          <w:numId w:val="1"/>
        </w:numPr>
        <w:jc w:val="both"/>
      </w:pPr>
      <w:r>
        <w:t xml:space="preserve">Règlement (UE) n° 1407/2013 de la commission du 18 décembre 2013 relatif à l’application des articles 107 et 108 du traité sur le fonctionnement de l’Union européenne aux aides de minimis ; </w:t>
      </w:r>
    </w:p>
    <w:p w14:paraId="44A5524D" w14:textId="77777777" w:rsidR="00781FDA" w:rsidRDefault="00781FDA" w:rsidP="00781FDA">
      <w:pPr>
        <w:pStyle w:val="Sansinterligne"/>
        <w:numPr>
          <w:ilvl w:val="0"/>
          <w:numId w:val="1"/>
        </w:numPr>
        <w:jc w:val="both"/>
      </w:pPr>
      <w: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15531CA8" w14:textId="77777777" w:rsidR="00781FDA" w:rsidRDefault="00781FDA" w:rsidP="00781FDA">
      <w:pPr>
        <w:pStyle w:val="Sansinterligne"/>
        <w:numPr>
          <w:ilvl w:val="0"/>
          <w:numId w:val="1"/>
        </w:numPr>
        <w:jc w:val="both"/>
      </w:pPr>
      <w:r>
        <w:t>Communication de la Commission relative à la notion d’« aide d'État» visée à l'article 107, paragraphe 1, du traité sur le fonctionnement de l'Union européenne, C/2016/2946, OJ C 262, 19.7.2016, p. 1–50 .</w:t>
      </w:r>
    </w:p>
    <w:p w14:paraId="307F13DA" w14:textId="77777777" w:rsidR="00781FDA" w:rsidRDefault="00781FDA" w:rsidP="00781FDA">
      <w:pPr>
        <w:pStyle w:val="Sansinterligne"/>
        <w:jc w:val="both"/>
      </w:pPr>
      <w:r>
        <w:t xml:space="preserve">  </w:t>
      </w:r>
    </w:p>
    <w:p w14:paraId="16295C3A" w14:textId="77777777" w:rsidR="00781FDA" w:rsidRPr="00C57CAD" w:rsidRDefault="00781FDA" w:rsidP="00781FDA">
      <w:pPr>
        <w:pStyle w:val="Sansinterligne"/>
        <w:jc w:val="both"/>
        <w:rPr>
          <w:b/>
          <w:bCs/>
          <w:color w:val="002060"/>
        </w:rPr>
      </w:pPr>
      <w:r w:rsidRPr="00C57CAD">
        <w:rPr>
          <w:b/>
          <w:bCs/>
          <w:color w:val="002060"/>
        </w:rPr>
        <w:t xml:space="preserve">Eligibilité des dépenses : </w:t>
      </w:r>
    </w:p>
    <w:p w14:paraId="4BC3E23B" w14:textId="77777777" w:rsidR="00781FDA" w:rsidRDefault="00781FDA" w:rsidP="00781FDA">
      <w:pPr>
        <w:pStyle w:val="Sansinterligne"/>
        <w:numPr>
          <w:ilvl w:val="0"/>
          <w:numId w:val="1"/>
        </w:numPr>
        <w:jc w:val="both"/>
      </w:pPr>
      <w:r>
        <w:t>Règlement (UE, Euratom) n°2018/1046 relatif aux règles financières applicables au budget général de l’Union, dit Omnibus ;</w:t>
      </w:r>
    </w:p>
    <w:p w14:paraId="34CABE03" w14:textId="77777777" w:rsidR="00781FDA" w:rsidRPr="00054021" w:rsidRDefault="00781FDA" w:rsidP="00781FDA">
      <w:pPr>
        <w:pStyle w:val="Sansinterligne"/>
        <w:numPr>
          <w:ilvl w:val="0"/>
          <w:numId w:val="1"/>
        </w:numPr>
        <w:jc w:val="both"/>
        <w:rPr>
          <w:color w:val="000000" w:themeColor="text1"/>
        </w:rPr>
      </w:pPr>
      <w:r>
        <w:t xml:space="preserve">Décret </w:t>
      </w:r>
      <w:r w:rsidRPr="003B42C2">
        <w:t xml:space="preserve">n°2022-608 du 21 avril 2022 </w:t>
      </w:r>
      <w:r w:rsidRPr="00054021">
        <w:rPr>
          <w:color w:val="000000" w:themeColor="text1"/>
        </w:rPr>
        <w:t xml:space="preserve">fixant les règles nationales d’éligibilité des dépenses dans le cadre des programmes cofinancés par les fonds européens structurels et d’investissement (FEDER, FSE +, FEADER, FEAMP) pour la période 2021-2027 ; </w:t>
      </w:r>
    </w:p>
    <w:p w14:paraId="60E844FE" w14:textId="77777777" w:rsidR="00781FDA" w:rsidRDefault="00781FDA" w:rsidP="00781FDA">
      <w:pPr>
        <w:pStyle w:val="Sansinterligne"/>
        <w:jc w:val="both"/>
      </w:pPr>
      <w:r>
        <w:t xml:space="preserve">  </w:t>
      </w:r>
    </w:p>
    <w:p w14:paraId="49AB9E30" w14:textId="77777777" w:rsidR="00781FDA" w:rsidRPr="00C57CAD" w:rsidRDefault="00781FDA" w:rsidP="00781FDA">
      <w:pPr>
        <w:pStyle w:val="Sansinterligne"/>
        <w:jc w:val="both"/>
        <w:rPr>
          <w:b/>
          <w:bCs/>
          <w:color w:val="002060"/>
        </w:rPr>
      </w:pPr>
      <w:r w:rsidRPr="00C57CAD">
        <w:rPr>
          <w:b/>
          <w:bCs/>
          <w:color w:val="002060"/>
        </w:rPr>
        <w:t xml:space="preserve">Commande publique : </w:t>
      </w:r>
    </w:p>
    <w:p w14:paraId="57E07014" w14:textId="77777777" w:rsidR="00781FDA" w:rsidRDefault="00781FDA" w:rsidP="00781FDA">
      <w:pPr>
        <w:pStyle w:val="Sansinterligne"/>
        <w:numPr>
          <w:ilvl w:val="0"/>
          <w:numId w:val="1"/>
        </w:numPr>
        <w:jc w:val="both"/>
      </w:pPr>
      <w:r>
        <w:t xml:space="preserve">Code de la Commande Publique ; </w:t>
      </w:r>
    </w:p>
    <w:p w14:paraId="58388488" w14:textId="77777777" w:rsidR="00781FDA" w:rsidRDefault="00781FDA" w:rsidP="00781FDA">
      <w:pPr>
        <w:pStyle w:val="Sansinterligne"/>
        <w:numPr>
          <w:ilvl w:val="0"/>
          <w:numId w:val="1"/>
        </w:numPr>
        <w:jc w:val="both"/>
      </w:pPr>
      <w:r>
        <w:t xml:space="preserve">Ordonnance n°2018-1074 du 26 novembre 2018 relative aux marchés publics ;  </w:t>
      </w:r>
    </w:p>
    <w:p w14:paraId="0B414A5F" w14:textId="77777777" w:rsidR="00781FDA" w:rsidRDefault="00781FDA" w:rsidP="00781FDA">
      <w:pPr>
        <w:pStyle w:val="Sansinterligne"/>
        <w:numPr>
          <w:ilvl w:val="0"/>
          <w:numId w:val="1"/>
        </w:numPr>
        <w:jc w:val="both"/>
      </w:pPr>
      <w:r>
        <w:t>Décret n°2018-1075 du 3 décembre 2018 relatif aux marchés publics.</w:t>
      </w:r>
    </w:p>
    <w:p w14:paraId="62CEE6BE" w14:textId="77777777" w:rsidR="00781FDA" w:rsidRDefault="00781FDA" w:rsidP="00781FDA">
      <w:pPr>
        <w:pStyle w:val="Sansinterligne"/>
        <w:jc w:val="both"/>
      </w:pPr>
    </w:p>
    <w:p w14:paraId="3676E4C2" w14:textId="77777777" w:rsidR="00781FDA" w:rsidRPr="002C70D5" w:rsidRDefault="00781FDA" w:rsidP="00781FDA">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sidRPr="002C70D5">
        <w:rPr>
          <w:b/>
          <w:bCs/>
          <w:color w:val="002060"/>
          <w:sz w:val="28"/>
          <w:szCs w:val="28"/>
        </w:rPr>
        <w:t>Dépenses éligibles</w:t>
      </w:r>
    </w:p>
    <w:p w14:paraId="0A32C93C" w14:textId="77777777" w:rsidR="00781FDA" w:rsidRDefault="00781FDA" w:rsidP="00781FDA">
      <w:pPr>
        <w:pStyle w:val="Sansinterligne"/>
        <w:jc w:val="both"/>
      </w:pPr>
    </w:p>
    <w:p w14:paraId="595EC5B5" w14:textId="77777777" w:rsidR="00781FDA" w:rsidRDefault="00781FDA" w:rsidP="00781FDA">
      <w:pPr>
        <w:pStyle w:val="Sansinterligne"/>
        <w:numPr>
          <w:ilvl w:val="0"/>
          <w:numId w:val="11"/>
        </w:numPr>
        <w:jc w:val="both"/>
      </w:pPr>
      <w:r>
        <w:t>Dépenses d’investissement, d’équipement</w:t>
      </w:r>
      <w:r>
        <w:rPr>
          <w:b/>
          <w:bCs/>
        </w:rPr>
        <w:t xml:space="preserve"> </w:t>
      </w:r>
      <w:r w:rsidRPr="007F0872">
        <w:rPr>
          <w:b/>
          <w:bCs/>
        </w:rPr>
        <w:t>(hors petit équipement, renouvellement de matériel informatique),</w:t>
      </w:r>
    </w:p>
    <w:p w14:paraId="23D39276" w14:textId="77777777" w:rsidR="00781FDA" w:rsidRDefault="00781FDA" w:rsidP="00781FDA">
      <w:pPr>
        <w:pStyle w:val="Sansinterligne"/>
        <w:numPr>
          <w:ilvl w:val="0"/>
          <w:numId w:val="12"/>
        </w:numPr>
        <w:jc w:val="both"/>
      </w:pPr>
      <w:r>
        <w:t>Dépenses de personnel dédiés à l’opération,</w:t>
      </w:r>
    </w:p>
    <w:p w14:paraId="06A68D51" w14:textId="77777777" w:rsidR="00781FDA" w:rsidRDefault="00781FDA" w:rsidP="00781FDA">
      <w:pPr>
        <w:pStyle w:val="Sansinterligne"/>
        <w:numPr>
          <w:ilvl w:val="0"/>
          <w:numId w:val="12"/>
        </w:numPr>
        <w:jc w:val="both"/>
      </w:pPr>
      <w:r>
        <w:t>Dépenses de prestations externes,</w:t>
      </w:r>
    </w:p>
    <w:p w14:paraId="3E8804BD" w14:textId="77777777" w:rsidR="00781FDA" w:rsidRPr="00484C28" w:rsidRDefault="00781FDA" w:rsidP="00781FDA">
      <w:pPr>
        <w:pStyle w:val="Paragraphedeliste"/>
        <w:numPr>
          <w:ilvl w:val="0"/>
          <w:numId w:val="12"/>
        </w:numPr>
        <w:spacing w:after="0"/>
        <w:ind w:left="714" w:hanging="357"/>
        <w:rPr>
          <w:rFonts w:asciiTheme="minorHAnsi" w:hAnsiTheme="minorHAnsi"/>
          <w:sz w:val="22"/>
        </w:rPr>
      </w:pPr>
      <w:bookmarkStart w:id="4" w:name="_Hlk113291609"/>
      <w:r w:rsidRPr="00484C28">
        <w:rPr>
          <w:rFonts w:asciiTheme="minorHAnsi" w:hAnsiTheme="minorHAnsi"/>
          <w:sz w:val="22"/>
        </w:rPr>
        <w:t>Coûts indirects (non pris en compte en dépenses directes) mise en œuvre via des options de coûts simplifiés</w:t>
      </w:r>
    </w:p>
    <w:bookmarkEnd w:id="4"/>
    <w:p w14:paraId="032A95DD" w14:textId="77777777" w:rsidR="00781FDA" w:rsidRDefault="00781FDA" w:rsidP="00781FDA">
      <w:pPr>
        <w:pStyle w:val="Sansinterligne"/>
        <w:numPr>
          <w:ilvl w:val="0"/>
          <w:numId w:val="12"/>
        </w:numPr>
        <w:ind w:left="714" w:hanging="357"/>
        <w:jc w:val="both"/>
      </w:pPr>
      <w:r>
        <w:t>Dépenses de communication de l’opération</w:t>
      </w:r>
    </w:p>
    <w:p w14:paraId="13C3F28A" w14:textId="77777777" w:rsidR="00781FDA" w:rsidRDefault="00781FDA" w:rsidP="00781FDA">
      <w:pPr>
        <w:spacing w:after="160" w:line="259" w:lineRule="auto"/>
        <w:jc w:val="left"/>
        <w:rPr>
          <w:rFonts w:asciiTheme="minorHAnsi" w:hAnsiTheme="minorHAnsi"/>
          <w:sz w:val="22"/>
        </w:rPr>
      </w:pPr>
      <w:r>
        <w:br w:type="page"/>
      </w:r>
    </w:p>
    <w:p w14:paraId="5F3C54E7" w14:textId="77777777" w:rsidR="00781FDA" w:rsidRDefault="00781FDA" w:rsidP="00781FDA">
      <w:pPr>
        <w:pStyle w:val="Sansinterligne"/>
        <w:jc w:val="both"/>
      </w:pPr>
    </w:p>
    <w:p w14:paraId="2891F850" w14:textId="77777777" w:rsidR="00781FDA" w:rsidRDefault="00781FDA" w:rsidP="00781FDA">
      <w:pPr>
        <w:pStyle w:val="Sansinterligne"/>
        <w:shd w:val="clear" w:color="auto" w:fill="E2EFD9" w:themeFill="accent6" w:themeFillTint="33"/>
        <w:jc w:val="both"/>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Options de coûts simplifiés</w:t>
      </w:r>
    </w:p>
    <w:p w14:paraId="02EFD91A" w14:textId="77777777" w:rsidR="00781FDA" w:rsidRDefault="00781FDA" w:rsidP="00781FDA">
      <w:pPr>
        <w:pStyle w:val="Sansinterligne"/>
        <w:jc w:val="both"/>
      </w:pPr>
    </w:p>
    <w:tbl>
      <w:tblPr>
        <w:tblStyle w:val="Grilledutableau"/>
        <w:tblW w:w="10637" w:type="dxa"/>
        <w:tblInd w:w="-5" w:type="dxa"/>
        <w:tblLook w:val="04A0" w:firstRow="1" w:lastRow="0" w:firstColumn="1" w:lastColumn="0" w:noHBand="0" w:noVBand="1"/>
      </w:tblPr>
      <w:tblGrid>
        <w:gridCol w:w="284"/>
        <w:gridCol w:w="501"/>
        <w:gridCol w:w="8287"/>
        <w:gridCol w:w="1565"/>
      </w:tblGrid>
      <w:tr w:rsidR="00781FDA" w14:paraId="0252F236" w14:textId="77777777" w:rsidTr="00F65C73">
        <w:tc>
          <w:tcPr>
            <w:tcW w:w="785" w:type="dxa"/>
            <w:gridSpan w:val="2"/>
            <w:tcBorders>
              <w:top w:val="nil"/>
              <w:left w:val="nil"/>
              <w:right w:val="nil"/>
            </w:tcBorders>
          </w:tcPr>
          <w:p w14:paraId="46686B39" w14:textId="77777777" w:rsidR="00781FDA" w:rsidRDefault="00781FDA" w:rsidP="00F65C73">
            <w:pPr>
              <w:pStyle w:val="Sansinterligne"/>
              <w:jc w:val="both"/>
            </w:pPr>
          </w:p>
        </w:tc>
        <w:tc>
          <w:tcPr>
            <w:tcW w:w="8287" w:type="dxa"/>
            <w:tcBorders>
              <w:top w:val="nil"/>
              <w:left w:val="nil"/>
            </w:tcBorders>
            <w:vAlign w:val="center"/>
          </w:tcPr>
          <w:p w14:paraId="2EE64D11" w14:textId="77777777" w:rsidR="00781FDA" w:rsidRPr="00903E4B" w:rsidRDefault="00781FDA" w:rsidP="00F65C73">
            <w:pPr>
              <w:pStyle w:val="Sansinterligne"/>
              <w:rPr>
                <w:b/>
                <w:bCs/>
                <w:color w:val="002060"/>
              </w:rPr>
            </w:pPr>
          </w:p>
        </w:tc>
        <w:tc>
          <w:tcPr>
            <w:tcW w:w="1565" w:type="dxa"/>
            <w:tcBorders>
              <w:left w:val="nil"/>
            </w:tcBorders>
            <w:vAlign w:val="center"/>
          </w:tcPr>
          <w:p w14:paraId="54274A1C" w14:textId="77777777" w:rsidR="00781FDA" w:rsidRPr="00903E4B" w:rsidRDefault="00781FDA" w:rsidP="00F65C73">
            <w:pPr>
              <w:pStyle w:val="Sansinterligne"/>
              <w:jc w:val="center"/>
              <w:rPr>
                <w:b/>
                <w:bCs/>
                <w:color w:val="002060"/>
              </w:rPr>
            </w:pPr>
            <w:r>
              <w:rPr>
                <w:b/>
                <w:bCs/>
                <w:color w:val="002060"/>
              </w:rPr>
              <w:t>Mobilisable sur l’action</w:t>
            </w:r>
          </w:p>
        </w:tc>
      </w:tr>
      <w:tr w:rsidR="00781FDA" w14:paraId="34E8DC05" w14:textId="77777777" w:rsidTr="00F65C73">
        <w:tc>
          <w:tcPr>
            <w:tcW w:w="9072" w:type="dxa"/>
            <w:gridSpan w:val="3"/>
            <w:vAlign w:val="center"/>
          </w:tcPr>
          <w:p w14:paraId="4322B385" w14:textId="77777777" w:rsidR="00781FDA" w:rsidRDefault="00781FDA" w:rsidP="00F65C73">
            <w:pPr>
              <w:pStyle w:val="Sansinterligne"/>
            </w:pPr>
            <w:r w:rsidRPr="00903E4B">
              <w:rPr>
                <w:b/>
                <w:bCs/>
                <w:color w:val="002060"/>
              </w:rPr>
              <w:t>Taux forfaitaires :</w:t>
            </w:r>
            <w:r w:rsidRPr="00903E4B">
              <w:rPr>
                <w:color w:val="002060"/>
              </w:rPr>
              <w:t xml:space="preserve"> </w:t>
            </w:r>
            <w:r>
              <w:t>obligatoire lorsque le coût total du projet est inférieur à 200 000 €</w:t>
            </w:r>
          </w:p>
        </w:tc>
        <w:tc>
          <w:tcPr>
            <w:tcW w:w="1565" w:type="dxa"/>
            <w:vAlign w:val="center"/>
          </w:tcPr>
          <w:p w14:paraId="254DCE1C" w14:textId="77777777" w:rsidR="00781FDA" w:rsidRPr="00903E4B" w:rsidRDefault="00781FDA" w:rsidP="00F65C73">
            <w:pPr>
              <w:pStyle w:val="Sansinterligne"/>
              <w:jc w:val="center"/>
              <w:rPr>
                <w:b/>
                <w:bCs/>
                <w:color w:val="002060"/>
              </w:rPr>
            </w:pPr>
            <w:r>
              <w:rPr>
                <w:b/>
                <w:bCs/>
                <w:noProof/>
                <w:color w:val="002060"/>
              </w:rPr>
              <w:drawing>
                <wp:inline distT="0" distB="0" distL="0" distR="0" wp14:anchorId="7D2FD736" wp14:editId="2F603D03">
                  <wp:extent cx="262393" cy="262393"/>
                  <wp:effectExtent l="0" t="0" r="4445" b="4445"/>
                  <wp:docPr id="784945832" name="Graphique 78494583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781FDA" w14:paraId="7D00BAA0" w14:textId="77777777" w:rsidTr="00F65C73">
        <w:tc>
          <w:tcPr>
            <w:tcW w:w="284" w:type="dxa"/>
            <w:tcBorders>
              <w:right w:val="nil"/>
            </w:tcBorders>
          </w:tcPr>
          <w:p w14:paraId="644D691B" w14:textId="77777777" w:rsidR="00781FDA" w:rsidRDefault="00781FDA" w:rsidP="00F65C73">
            <w:pPr>
              <w:pStyle w:val="Sansinterligne"/>
              <w:jc w:val="both"/>
            </w:pPr>
          </w:p>
        </w:tc>
        <w:tc>
          <w:tcPr>
            <w:tcW w:w="8788" w:type="dxa"/>
            <w:gridSpan w:val="2"/>
            <w:tcBorders>
              <w:left w:val="nil"/>
            </w:tcBorders>
            <w:vAlign w:val="center"/>
          </w:tcPr>
          <w:p w14:paraId="08C620FB" w14:textId="77777777" w:rsidR="00781FDA" w:rsidRDefault="00781FDA" w:rsidP="00F65C73">
            <w:pPr>
              <w:pStyle w:val="Sansinterligne"/>
            </w:pPr>
            <w:r w:rsidRPr="00C57CAD">
              <w:rPr>
                <w:b/>
                <w:bCs/>
              </w:rPr>
              <w:t>Taux de 40% :</w:t>
            </w:r>
            <w:r>
              <w:t xml:space="preserve"> </w:t>
            </w:r>
            <w:r w:rsidRPr="00903E4B">
              <w:t>forfaitise les coûts hors frais directs de personnel dans la limite de 40% des coûts directs de personnel</w:t>
            </w:r>
          </w:p>
        </w:tc>
        <w:tc>
          <w:tcPr>
            <w:tcW w:w="1565" w:type="dxa"/>
            <w:vAlign w:val="center"/>
          </w:tcPr>
          <w:p w14:paraId="33EBED70" w14:textId="77777777" w:rsidR="00781FDA" w:rsidRDefault="00781FDA" w:rsidP="00F65C73">
            <w:pPr>
              <w:pStyle w:val="Sansinterligne"/>
              <w:jc w:val="center"/>
            </w:pPr>
            <w:r>
              <w:rPr>
                <w:b/>
                <w:bCs/>
                <w:noProof/>
                <w:color w:val="002060"/>
              </w:rPr>
              <w:drawing>
                <wp:inline distT="0" distB="0" distL="0" distR="0" wp14:anchorId="1A116273" wp14:editId="27FA9EC2">
                  <wp:extent cx="262393" cy="262393"/>
                  <wp:effectExtent l="0" t="0" r="4445" b="4445"/>
                  <wp:docPr id="784945833" name="Graphique 78494583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781FDA" w14:paraId="62C37444" w14:textId="77777777" w:rsidTr="00F65C73">
        <w:tc>
          <w:tcPr>
            <w:tcW w:w="284" w:type="dxa"/>
            <w:tcBorders>
              <w:right w:val="nil"/>
            </w:tcBorders>
          </w:tcPr>
          <w:p w14:paraId="20047D45" w14:textId="77777777" w:rsidR="00781FDA" w:rsidRDefault="00781FDA" w:rsidP="00F65C73">
            <w:pPr>
              <w:pStyle w:val="Sansinterligne"/>
              <w:jc w:val="both"/>
            </w:pPr>
          </w:p>
        </w:tc>
        <w:tc>
          <w:tcPr>
            <w:tcW w:w="8788" w:type="dxa"/>
            <w:gridSpan w:val="2"/>
            <w:tcBorders>
              <w:left w:val="nil"/>
            </w:tcBorders>
            <w:vAlign w:val="center"/>
          </w:tcPr>
          <w:p w14:paraId="67467E54" w14:textId="77777777" w:rsidR="00781FDA" w:rsidRDefault="00781FDA" w:rsidP="00F65C73">
            <w:pPr>
              <w:pStyle w:val="Sansinterligne"/>
            </w:pPr>
            <w:r w:rsidRPr="00C57CAD">
              <w:rPr>
                <w:b/>
                <w:bCs/>
              </w:rPr>
              <w:t>Taux de 15% :</w:t>
            </w:r>
            <w:r>
              <w:t xml:space="preserve"> </w:t>
            </w:r>
            <w:r w:rsidRPr="00903E4B">
              <w:t>forfaitise les coûts indirects dans la limite de 15% des coûts directs de personnel</w:t>
            </w:r>
          </w:p>
        </w:tc>
        <w:tc>
          <w:tcPr>
            <w:tcW w:w="1565" w:type="dxa"/>
            <w:vAlign w:val="center"/>
          </w:tcPr>
          <w:p w14:paraId="16695A8C" w14:textId="77777777" w:rsidR="00781FDA" w:rsidRDefault="00781FDA" w:rsidP="00F65C73">
            <w:pPr>
              <w:pStyle w:val="Sansinterligne"/>
              <w:jc w:val="center"/>
            </w:pPr>
            <w:r>
              <w:rPr>
                <w:b/>
                <w:bCs/>
                <w:noProof/>
                <w:color w:val="002060"/>
              </w:rPr>
              <w:drawing>
                <wp:inline distT="0" distB="0" distL="0" distR="0" wp14:anchorId="54A94F2B" wp14:editId="7E4F0487">
                  <wp:extent cx="262393" cy="262393"/>
                  <wp:effectExtent l="0" t="0" r="4445" b="4445"/>
                  <wp:docPr id="784945834" name="Graphique 78494583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781FDA" w14:paraId="067B36F0" w14:textId="77777777" w:rsidTr="00F65C73">
        <w:tc>
          <w:tcPr>
            <w:tcW w:w="284" w:type="dxa"/>
            <w:tcBorders>
              <w:right w:val="nil"/>
            </w:tcBorders>
          </w:tcPr>
          <w:p w14:paraId="7F503283" w14:textId="77777777" w:rsidR="00781FDA" w:rsidRDefault="00781FDA" w:rsidP="00F65C73">
            <w:pPr>
              <w:pStyle w:val="Sansinterligne"/>
              <w:jc w:val="both"/>
            </w:pPr>
          </w:p>
        </w:tc>
        <w:tc>
          <w:tcPr>
            <w:tcW w:w="8788" w:type="dxa"/>
            <w:gridSpan w:val="2"/>
            <w:tcBorders>
              <w:left w:val="nil"/>
            </w:tcBorders>
            <w:vAlign w:val="center"/>
          </w:tcPr>
          <w:p w14:paraId="42AEB550" w14:textId="77777777" w:rsidR="00781FDA" w:rsidRDefault="00781FDA" w:rsidP="00F65C73">
            <w:pPr>
              <w:pStyle w:val="Sansinterligne"/>
            </w:pPr>
            <w:r w:rsidRPr="00C57CAD">
              <w:rPr>
                <w:b/>
                <w:bCs/>
              </w:rPr>
              <w:t>Taux de 20% :</w:t>
            </w:r>
            <w:r>
              <w:t xml:space="preserve"> </w:t>
            </w:r>
            <w:r w:rsidRPr="00903E4B">
              <w:t>forfaitise les coûts de personnel directs dans la limite de 20% des coûts directs hors frais de personnel directs</w:t>
            </w:r>
          </w:p>
        </w:tc>
        <w:tc>
          <w:tcPr>
            <w:tcW w:w="1565" w:type="dxa"/>
            <w:vAlign w:val="center"/>
          </w:tcPr>
          <w:p w14:paraId="436EA34A" w14:textId="77777777" w:rsidR="00781FDA" w:rsidRDefault="00781FDA" w:rsidP="00F65C73">
            <w:pPr>
              <w:pStyle w:val="Sansinterligne"/>
              <w:jc w:val="center"/>
            </w:pPr>
            <w:r>
              <w:rPr>
                <w:b/>
                <w:bCs/>
                <w:noProof/>
                <w:color w:val="002060"/>
              </w:rPr>
              <w:drawing>
                <wp:inline distT="0" distB="0" distL="0" distR="0" wp14:anchorId="386D9C10" wp14:editId="6008F6BD">
                  <wp:extent cx="262393" cy="262393"/>
                  <wp:effectExtent l="0" t="0" r="4445" b="4445"/>
                  <wp:docPr id="784945835" name="Graphique 78494583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781FDA" w14:paraId="6505F3A3" w14:textId="77777777" w:rsidTr="00F65C73">
        <w:tc>
          <w:tcPr>
            <w:tcW w:w="284" w:type="dxa"/>
            <w:tcBorders>
              <w:right w:val="nil"/>
            </w:tcBorders>
          </w:tcPr>
          <w:p w14:paraId="3FF73BA0" w14:textId="77777777" w:rsidR="00781FDA" w:rsidRDefault="00781FDA" w:rsidP="00F65C73">
            <w:pPr>
              <w:pStyle w:val="Sansinterligne"/>
              <w:jc w:val="both"/>
            </w:pPr>
          </w:p>
        </w:tc>
        <w:tc>
          <w:tcPr>
            <w:tcW w:w="8788" w:type="dxa"/>
            <w:gridSpan w:val="2"/>
            <w:tcBorders>
              <w:left w:val="nil"/>
            </w:tcBorders>
            <w:vAlign w:val="center"/>
          </w:tcPr>
          <w:p w14:paraId="0AB749F0" w14:textId="77777777" w:rsidR="00781FDA" w:rsidRDefault="00781FDA" w:rsidP="00F65C73">
            <w:pPr>
              <w:pStyle w:val="Sansinterligne"/>
            </w:pPr>
            <w:r w:rsidRPr="00C57CAD">
              <w:rPr>
                <w:b/>
                <w:bCs/>
              </w:rPr>
              <w:t>Taux de 7% :</w:t>
            </w:r>
            <w:r>
              <w:t xml:space="preserve"> </w:t>
            </w:r>
            <w:r w:rsidRPr="00903E4B">
              <w:t>forfaitise les coûts indirects dans la limite de 7% des coûts directs</w:t>
            </w:r>
          </w:p>
        </w:tc>
        <w:tc>
          <w:tcPr>
            <w:tcW w:w="1565" w:type="dxa"/>
            <w:vAlign w:val="center"/>
          </w:tcPr>
          <w:p w14:paraId="349C2360" w14:textId="77777777" w:rsidR="00781FDA" w:rsidRDefault="00781FDA" w:rsidP="00F65C73">
            <w:pPr>
              <w:pStyle w:val="Sansinterligne"/>
              <w:jc w:val="center"/>
            </w:pPr>
            <w:r>
              <w:rPr>
                <w:b/>
                <w:bCs/>
                <w:noProof/>
                <w:color w:val="002060"/>
              </w:rPr>
              <w:drawing>
                <wp:inline distT="0" distB="0" distL="0" distR="0" wp14:anchorId="52EEA433" wp14:editId="281E15D1">
                  <wp:extent cx="262393" cy="262393"/>
                  <wp:effectExtent l="0" t="0" r="4445" b="4445"/>
                  <wp:docPr id="784945836" name="Graphique 78494583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781FDA" w14:paraId="72FE10BA" w14:textId="77777777" w:rsidTr="00F65C73">
        <w:tc>
          <w:tcPr>
            <w:tcW w:w="284" w:type="dxa"/>
            <w:tcBorders>
              <w:right w:val="nil"/>
            </w:tcBorders>
          </w:tcPr>
          <w:p w14:paraId="3060A548" w14:textId="77777777" w:rsidR="00781FDA" w:rsidRDefault="00781FDA" w:rsidP="00F65C73">
            <w:pPr>
              <w:pStyle w:val="Sansinterligne"/>
              <w:jc w:val="both"/>
            </w:pPr>
          </w:p>
        </w:tc>
        <w:tc>
          <w:tcPr>
            <w:tcW w:w="8788" w:type="dxa"/>
            <w:gridSpan w:val="2"/>
            <w:tcBorders>
              <w:left w:val="nil"/>
            </w:tcBorders>
            <w:vAlign w:val="center"/>
          </w:tcPr>
          <w:p w14:paraId="06B198AC" w14:textId="77777777" w:rsidR="00781FDA" w:rsidRPr="00903E4B" w:rsidRDefault="00781FDA" w:rsidP="00F65C73">
            <w:pPr>
              <w:pStyle w:val="Sansinterligne"/>
            </w:pPr>
            <w:r>
              <w:t>T</w:t>
            </w:r>
            <w:r w:rsidRPr="00903E4B">
              <w:t>aux forfaitaire(s) applicable(s) dans d’autres politiques de l’UE pour des opérations similaires</w:t>
            </w:r>
          </w:p>
        </w:tc>
        <w:tc>
          <w:tcPr>
            <w:tcW w:w="1565" w:type="dxa"/>
            <w:vAlign w:val="center"/>
          </w:tcPr>
          <w:p w14:paraId="663AA5F8" w14:textId="77777777" w:rsidR="00781FDA" w:rsidRDefault="00781FDA" w:rsidP="00F65C73">
            <w:pPr>
              <w:pStyle w:val="Sansinterligne"/>
              <w:jc w:val="center"/>
            </w:pPr>
            <w:r>
              <w:rPr>
                <w:b/>
                <w:bCs/>
                <w:noProof/>
                <w:color w:val="002060"/>
              </w:rPr>
              <w:drawing>
                <wp:inline distT="0" distB="0" distL="0" distR="0" wp14:anchorId="2537ABE0" wp14:editId="63C965A6">
                  <wp:extent cx="262393" cy="262393"/>
                  <wp:effectExtent l="0" t="0" r="4445" b="4445"/>
                  <wp:docPr id="784945837" name="Graphique 78494583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781FDA" w14:paraId="5915D75D" w14:textId="77777777" w:rsidTr="00F65C73">
        <w:tc>
          <w:tcPr>
            <w:tcW w:w="9072" w:type="dxa"/>
            <w:gridSpan w:val="3"/>
            <w:vAlign w:val="center"/>
          </w:tcPr>
          <w:p w14:paraId="17D4B685" w14:textId="77777777" w:rsidR="00781FDA" w:rsidRPr="00903E4B" w:rsidRDefault="00781FDA" w:rsidP="00F65C73">
            <w:pPr>
              <w:pStyle w:val="Sansinterligne"/>
              <w:rPr>
                <w:b/>
                <w:bCs/>
                <w:color w:val="002060"/>
              </w:rPr>
            </w:pPr>
            <w:r w:rsidRPr="00903E4B">
              <w:rPr>
                <w:b/>
                <w:bCs/>
                <w:color w:val="002060"/>
              </w:rPr>
              <w:t>Montants forfaitaires</w:t>
            </w:r>
          </w:p>
        </w:tc>
        <w:tc>
          <w:tcPr>
            <w:tcW w:w="1565" w:type="dxa"/>
            <w:vAlign w:val="center"/>
          </w:tcPr>
          <w:p w14:paraId="566AC509" w14:textId="77777777" w:rsidR="00781FDA" w:rsidRPr="00903E4B" w:rsidRDefault="00781FDA" w:rsidP="00F65C73">
            <w:pPr>
              <w:pStyle w:val="Sansinterligne"/>
              <w:jc w:val="center"/>
              <w:rPr>
                <w:b/>
                <w:bCs/>
                <w:color w:val="002060"/>
              </w:rPr>
            </w:pPr>
            <w:r>
              <w:rPr>
                <w:b/>
                <w:bCs/>
                <w:noProof/>
                <w:color w:val="002060"/>
              </w:rPr>
              <w:drawing>
                <wp:inline distT="0" distB="0" distL="0" distR="0" wp14:anchorId="404D70C3" wp14:editId="75EBD269">
                  <wp:extent cx="230588" cy="230588"/>
                  <wp:effectExtent l="0" t="0" r="0" b="0"/>
                  <wp:docPr id="784945838" name="Graphique 78494583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781FDA" w14:paraId="57807442" w14:textId="77777777" w:rsidTr="00F65C73">
        <w:tc>
          <w:tcPr>
            <w:tcW w:w="9072" w:type="dxa"/>
            <w:gridSpan w:val="3"/>
            <w:vAlign w:val="center"/>
          </w:tcPr>
          <w:p w14:paraId="35F3F69C" w14:textId="77777777" w:rsidR="00781FDA" w:rsidRPr="00903E4B" w:rsidRDefault="00781FDA" w:rsidP="00F65C73">
            <w:pPr>
              <w:pStyle w:val="Sansinterligne"/>
              <w:rPr>
                <w:b/>
                <w:bCs/>
                <w:color w:val="002060"/>
              </w:rPr>
            </w:pPr>
            <w:r w:rsidRPr="00903E4B">
              <w:rPr>
                <w:b/>
                <w:bCs/>
                <w:color w:val="002060"/>
              </w:rPr>
              <w:t>Barème standard de coût unitaire</w:t>
            </w:r>
          </w:p>
        </w:tc>
        <w:tc>
          <w:tcPr>
            <w:tcW w:w="1565" w:type="dxa"/>
            <w:vAlign w:val="center"/>
          </w:tcPr>
          <w:p w14:paraId="6B4880C2" w14:textId="77777777" w:rsidR="00781FDA" w:rsidRPr="00903E4B" w:rsidRDefault="00781FDA" w:rsidP="00F65C73">
            <w:pPr>
              <w:pStyle w:val="Sansinterligne"/>
              <w:jc w:val="center"/>
              <w:rPr>
                <w:b/>
                <w:bCs/>
                <w:color w:val="002060"/>
              </w:rPr>
            </w:pPr>
            <w:r>
              <w:rPr>
                <w:b/>
                <w:bCs/>
                <w:noProof/>
                <w:color w:val="002060"/>
              </w:rPr>
              <w:drawing>
                <wp:inline distT="0" distB="0" distL="0" distR="0" wp14:anchorId="72F403B9" wp14:editId="163FBA88">
                  <wp:extent cx="246490" cy="246490"/>
                  <wp:effectExtent l="0" t="0" r="1270" b="1270"/>
                  <wp:docPr id="784945839" name="Graphique 78494583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bl>
    <w:p w14:paraId="683B1DC0" w14:textId="77777777" w:rsidR="00781FDA" w:rsidRDefault="00781FDA" w:rsidP="00781FDA">
      <w:pPr>
        <w:pStyle w:val="Sansinterligne"/>
        <w:jc w:val="both"/>
      </w:pPr>
    </w:p>
    <w:p w14:paraId="3EF14091" w14:textId="77777777" w:rsidR="00781FDA" w:rsidRPr="002C70D5" w:rsidRDefault="00781FDA" w:rsidP="00781FDA">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Taux d’aide applicables et seuils d’intervention FEDER</w:t>
      </w:r>
    </w:p>
    <w:p w14:paraId="4846D125" w14:textId="77777777" w:rsidR="00781FDA" w:rsidRDefault="00781FDA" w:rsidP="00781FDA">
      <w:pPr>
        <w:pStyle w:val="Sansinterligne"/>
        <w:jc w:val="both"/>
      </w:pPr>
    </w:p>
    <w:tbl>
      <w:tblPr>
        <w:tblStyle w:val="Grilledutableau"/>
        <w:tblW w:w="10627" w:type="dxa"/>
        <w:tblLook w:val="04A0" w:firstRow="1" w:lastRow="0" w:firstColumn="1" w:lastColumn="0" w:noHBand="0" w:noVBand="1"/>
      </w:tblPr>
      <w:tblGrid>
        <w:gridCol w:w="3697"/>
        <w:gridCol w:w="711"/>
        <w:gridCol w:w="6219"/>
      </w:tblGrid>
      <w:tr w:rsidR="00781FDA" w14:paraId="21EB87BD" w14:textId="77777777" w:rsidTr="00F65C73">
        <w:trPr>
          <w:trHeight w:val="725"/>
        </w:trPr>
        <w:tc>
          <w:tcPr>
            <w:tcW w:w="3697" w:type="dxa"/>
            <w:vAlign w:val="center"/>
          </w:tcPr>
          <w:p w14:paraId="5FD24371" w14:textId="77777777" w:rsidR="00781FDA" w:rsidRPr="007C7EF5" w:rsidRDefault="00781FDA" w:rsidP="00F65C73">
            <w:pPr>
              <w:pStyle w:val="Sansinterligne"/>
              <w:jc w:val="center"/>
              <w:rPr>
                <w:b/>
                <w:bCs/>
              </w:rPr>
            </w:pPr>
            <w:r w:rsidRPr="007C7EF5">
              <w:rPr>
                <w:b/>
                <w:bCs/>
              </w:rPr>
              <w:t>Taux maximum indicatif FEDER du coût total éligible</w:t>
            </w:r>
          </w:p>
          <w:p w14:paraId="20723F70" w14:textId="77777777" w:rsidR="00781FDA" w:rsidRDefault="00781FDA" w:rsidP="00F65C73">
            <w:pPr>
              <w:pStyle w:val="Sansinterligne"/>
              <w:jc w:val="center"/>
            </w:pPr>
            <w:r w:rsidRPr="007C7EF5">
              <w:rPr>
                <w:sz w:val="20"/>
                <w:szCs w:val="20"/>
              </w:rPr>
              <w:t>(sous réserve de la règlementation en matière d’aide d’Etat)</w:t>
            </w:r>
          </w:p>
        </w:tc>
        <w:tc>
          <w:tcPr>
            <w:tcW w:w="711" w:type="dxa"/>
            <w:vAlign w:val="center"/>
          </w:tcPr>
          <w:p w14:paraId="59F8690D" w14:textId="77777777" w:rsidR="00781FDA" w:rsidRPr="007C7EF5" w:rsidRDefault="00781FDA" w:rsidP="00F65C73">
            <w:pPr>
              <w:pStyle w:val="Sansinterligne"/>
              <w:jc w:val="center"/>
              <w:rPr>
                <w:b/>
                <w:bCs/>
              </w:rPr>
            </w:pPr>
            <w:r w:rsidRPr="007C7EF5">
              <w:rPr>
                <w:b/>
                <w:bCs/>
                <w:color w:val="00B050"/>
              </w:rPr>
              <w:t>60%</w:t>
            </w:r>
          </w:p>
        </w:tc>
        <w:tc>
          <w:tcPr>
            <w:tcW w:w="6219" w:type="dxa"/>
            <w:vAlign w:val="center"/>
          </w:tcPr>
          <w:p w14:paraId="29E30EDC" w14:textId="77777777" w:rsidR="00781FDA" w:rsidRPr="007C7EF5" w:rsidRDefault="00781FDA" w:rsidP="00F65C73">
            <w:pPr>
              <w:pStyle w:val="Sansinterligne"/>
              <w:rPr>
                <w:b/>
                <w:bCs/>
              </w:rPr>
            </w:pPr>
            <w:r w:rsidRPr="007C7EF5">
              <w:rPr>
                <w:b/>
                <w:bCs/>
              </w:rPr>
              <w:t xml:space="preserve">Régimes d’aides applicables : </w:t>
            </w:r>
          </w:p>
          <w:p w14:paraId="06BDE06C" w14:textId="77777777" w:rsidR="00781FDA" w:rsidRPr="007C7EF5" w:rsidRDefault="00781FDA" w:rsidP="00F65C73">
            <w:pPr>
              <w:pStyle w:val="Sansinterligne"/>
              <w:numPr>
                <w:ilvl w:val="0"/>
                <w:numId w:val="1"/>
              </w:numPr>
              <w:rPr>
                <w:sz w:val="20"/>
                <w:szCs w:val="20"/>
              </w:rPr>
            </w:pPr>
            <w:r w:rsidRPr="007C7EF5">
              <w:rPr>
                <w:sz w:val="20"/>
                <w:szCs w:val="20"/>
              </w:rPr>
              <w:t xml:space="preserve">Toute base juridique pertinente, notamment en recherche, développement et innovation (RDI). </w:t>
            </w:r>
          </w:p>
          <w:p w14:paraId="3D574230" w14:textId="77777777" w:rsidR="00781FDA" w:rsidRPr="007C7EF5" w:rsidRDefault="00781FDA" w:rsidP="00F65C73">
            <w:pPr>
              <w:pStyle w:val="Sansinterligne"/>
              <w:numPr>
                <w:ilvl w:val="0"/>
                <w:numId w:val="1"/>
              </w:numPr>
              <w:rPr>
                <w:sz w:val="20"/>
                <w:szCs w:val="20"/>
              </w:rPr>
            </w:pPr>
            <w:r w:rsidRPr="007C7EF5">
              <w:rPr>
                <w:sz w:val="20"/>
                <w:szCs w:val="20"/>
              </w:rPr>
              <w:t xml:space="preserve">Régime Général d’Exemption par Catégorie (RGEC) n°651/2014 du 17 juin 2014. </w:t>
            </w:r>
          </w:p>
          <w:p w14:paraId="5792F2B1" w14:textId="77777777" w:rsidR="00781FDA" w:rsidRPr="007C7EF5" w:rsidRDefault="00781FDA" w:rsidP="00F65C73">
            <w:pPr>
              <w:pStyle w:val="Sansinterligne"/>
              <w:numPr>
                <w:ilvl w:val="0"/>
                <w:numId w:val="1"/>
              </w:numPr>
              <w:rPr>
                <w:sz w:val="20"/>
                <w:szCs w:val="20"/>
              </w:rPr>
            </w:pPr>
            <w:r w:rsidRPr="007C7EF5">
              <w:rPr>
                <w:sz w:val="20"/>
                <w:szCs w:val="20"/>
              </w:rPr>
              <w:t xml:space="preserve">Règlement (UE) n° 360/2012 du 25 avril 2012 relatif aux aides de minimis SIEG (Services d’Intérêt Économique Général). </w:t>
            </w:r>
          </w:p>
          <w:p w14:paraId="3B75668A" w14:textId="77777777" w:rsidR="00781FDA" w:rsidRDefault="00781FDA" w:rsidP="00F65C73">
            <w:pPr>
              <w:pStyle w:val="Sansinterligne"/>
              <w:numPr>
                <w:ilvl w:val="0"/>
                <w:numId w:val="1"/>
              </w:numPr>
            </w:pPr>
            <w:r w:rsidRPr="007C7EF5">
              <w:rPr>
                <w:sz w:val="20"/>
                <w:szCs w:val="20"/>
              </w:rPr>
              <w:t xml:space="preserve">Règlement (UE) n°1407/2013 du 18 décembre 2013 relatif aux aides de minimis. </w:t>
            </w:r>
          </w:p>
        </w:tc>
      </w:tr>
      <w:tr w:rsidR="00781FDA" w14:paraId="434115E0" w14:textId="77777777" w:rsidTr="00F65C73">
        <w:trPr>
          <w:trHeight w:val="268"/>
        </w:trPr>
        <w:tc>
          <w:tcPr>
            <w:tcW w:w="4408" w:type="dxa"/>
            <w:gridSpan w:val="2"/>
            <w:vAlign w:val="center"/>
          </w:tcPr>
          <w:p w14:paraId="63C31BB3" w14:textId="77777777" w:rsidR="00781FDA" w:rsidRPr="007C7EF5" w:rsidRDefault="00781FDA" w:rsidP="00F65C73">
            <w:pPr>
              <w:pStyle w:val="Sansinterligne"/>
              <w:jc w:val="center"/>
              <w:rPr>
                <w:b/>
                <w:bCs/>
                <w:color w:val="00B050"/>
              </w:rPr>
            </w:pPr>
            <w:r>
              <w:rPr>
                <w:b/>
                <w:bCs/>
              </w:rPr>
              <w:t>Montant de l’aide FEDER (minimum/maximum)</w:t>
            </w:r>
          </w:p>
        </w:tc>
        <w:tc>
          <w:tcPr>
            <w:tcW w:w="6219" w:type="dxa"/>
            <w:vAlign w:val="center"/>
          </w:tcPr>
          <w:p w14:paraId="4F0A8B27" w14:textId="77777777" w:rsidR="00781FDA" w:rsidRDefault="00781FDA" w:rsidP="00F65C73">
            <w:pPr>
              <w:pStyle w:val="Sansinterligne"/>
              <w:rPr>
                <w:rFonts w:cstheme="minorHAnsi"/>
                <w:b/>
                <w:bCs/>
              </w:rPr>
            </w:pPr>
            <w:r>
              <w:rPr>
                <w:b/>
                <w:bCs/>
              </w:rPr>
              <w:t xml:space="preserve">Minimum : </w:t>
            </w:r>
            <w:r w:rsidRPr="00B0450C">
              <w:rPr>
                <w:b/>
                <w:bCs/>
              </w:rPr>
              <w:t xml:space="preserve">100 000 </w:t>
            </w:r>
            <w:r>
              <w:rPr>
                <w:rFonts w:cstheme="minorHAnsi"/>
                <w:b/>
                <w:bCs/>
              </w:rPr>
              <w:t>€ par projet</w:t>
            </w:r>
          </w:p>
          <w:p w14:paraId="62892AF0" w14:textId="77777777" w:rsidR="00781FDA" w:rsidRPr="007C7EF5" w:rsidRDefault="00781FDA" w:rsidP="00F65C73">
            <w:pPr>
              <w:pStyle w:val="Sansinterligne"/>
              <w:rPr>
                <w:b/>
                <w:bCs/>
              </w:rPr>
            </w:pPr>
            <w:r>
              <w:rPr>
                <w:rFonts w:cstheme="minorHAnsi"/>
                <w:b/>
                <w:bCs/>
              </w:rPr>
              <w:t>Maximum : 2 000 000 € par projet</w:t>
            </w:r>
          </w:p>
        </w:tc>
      </w:tr>
    </w:tbl>
    <w:p w14:paraId="32F1004D" w14:textId="77777777" w:rsidR="00781FDA" w:rsidRDefault="00781FDA" w:rsidP="00781FDA">
      <w:pPr>
        <w:pStyle w:val="Sansinterligne"/>
        <w:jc w:val="both"/>
      </w:pPr>
    </w:p>
    <w:p w14:paraId="62A56037" w14:textId="77777777" w:rsidR="00781FDA" w:rsidRPr="002C70D5" w:rsidRDefault="00781FDA" w:rsidP="00781FDA">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Autres cofinanceurs mobilisables (liste non exhaustive)</w:t>
      </w:r>
    </w:p>
    <w:p w14:paraId="7D68FA70" w14:textId="77777777" w:rsidR="00781FDA" w:rsidRDefault="00781FDA" w:rsidP="00781FDA">
      <w:pPr>
        <w:pStyle w:val="Sansinterligne"/>
        <w:ind w:left="720"/>
        <w:jc w:val="both"/>
      </w:pPr>
    </w:p>
    <w:p w14:paraId="3F5CA06F" w14:textId="77777777" w:rsidR="00781FDA" w:rsidRDefault="00781FDA" w:rsidP="00781FDA">
      <w:pPr>
        <w:pStyle w:val="Sansinterligne"/>
        <w:numPr>
          <w:ilvl w:val="0"/>
          <w:numId w:val="1"/>
        </w:numPr>
        <w:jc w:val="both"/>
      </w:pPr>
      <w:r>
        <w:t xml:space="preserve">Etat </w:t>
      </w:r>
    </w:p>
    <w:p w14:paraId="5F83A501" w14:textId="77777777" w:rsidR="00781FDA" w:rsidRDefault="00781FDA" w:rsidP="00781FDA">
      <w:pPr>
        <w:pStyle w:val="Sansinterligne"/>
        <w:numPr>
          <w:ilvl w:val="0"/>
          <w:numId w:val="1"/>
        </w:numPr>
        <w:jc w:val="both"/>
      </w:pPr>
      <w:r>
        <w:t xml:space="preserve">Région </w:t>
      </w:r>
    </w:p>
    <w:p w14:paraId="585DF9AB" w14:textId="77777777" w:rsidR="00781FDA" w:rsidRDefault="00781FDA" w:rsidP="00781FDA">
      <w:pPr>
        <w:pStyle w:val="Sansinterligne"/>
        <w:numPr>
          <w:ilvl w:val="0"/>
          <w:numId w:val="1"/>
        </w:numPr>
        <w:jc w:val="both"/>
      </w:pPr>
      <w:r>
        <w:t>Autres collectivités territoriales</w:t>
      </w:r>
    </w:p>
    <w:p w14:paraId="283FFAF3" w14:textId="77777777" w:rsidR="00781FDA" w:rsidRDefault="00781FDA" w:rsidP="00781FDA">
      <w:pPr>
        <w:pStyle w:val="Sansinterligne"/>
        <w:ind w:left="720"/>
        <w:jc w:val="both"/>
      </w:pPr>
    </w:p>
    <w:p w14:paraId="398B1059" w14:textId="77777777" w:rsidR="00781FDA" w:rsidRPr="002C70D5" w:rsidRDefault="00781FDA" w:rsidP="00781FDA">
      <w:pPr>
        <w:pStyle w:val="Sansinterligne"/>
        <w:shd w:val="clear" w:color="auto" w:fill="E2CFF1"/>
        <w:jc w:val="both"/>
        <w:rPr>
          <w:b/>
          <w:bCs/>
          <w:sz w:val="28"/>
          <w:szCs w:val="28"/>
        </w:rPr>
      </w:pPr>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Indicateurs de réalisation et de résultat</w:t>
      </w:r>
    </w:p>
    <w:p w14:paraId="26FEF888" w14:textId="77777777" w:rsidR="00781FDA" w:rsidRDefault="00781FDA" w:rsidP="00781FDA">
      <w:pPr>
        <w:pStyle w:val="Sansinterligne"/>
        <w:jc w:val="both"/>
        <w:rPr>
          <w:b/>
          <w:bCs/>
          <w:color w:val="FFFFFF" w:themeColor="background1"/>
          <w:sz w:val="28"/>
          <w:szCs w:val="28"/>
          <w:shd w:val="clear" w:color="auto" w:fill="7030A0"/>
        </w:rPr>
      </w:pPr>
    </w:p>
    <w:tbl>
      <w:tblPr>
        <w:tblW w:w="10627" w:type="dxa"/>
        <w:tblCellMar>
          <w:left w:w="70" w:type="dxa"/>
          <w:right w:w="70" w:type="dxa"/>
        </w:tblCellMar>
        <w:tblLook w:val="04A0" w:firstRow="1" w:lastRow="0" w:firstColumn="1" w:lastColumn="0" w:noHBand="0" w:noVBand="1"/>
      </w:tblPr>
      <w:tblGrid>
        <w:gridCol w:w="1128"/>
        <w:gridCol w:w="822"/>
        <w:gridCol w:w="4021"/>
        <w:gridCol w:w="1121"/>
        <w:gridCol w:w="1121"/>
        <w:gridCol w:w="2414"/>
      </w:tblGrid>
      <w:tr w:rsidR="00781FDA" w:rsidRPr="00E73F3B" w14:paraId="77A9DEDB" w14:textId="77777777" w:rsidTr="00F65C73">
        <w:trPr>
          <w:trHeight w:val="487"/>
        </w:trPr>
        <w:tc>
          <w:tcPr>
            <w:tcW w:w="112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9136DA" w14:textId="77777777" w:rsidR="00781FDA" w:rsidRPr="00E73F3B" w:rsidRDefault="00781FDA" w:rsidP="00F65C73">
            <w:pPr>
              <w:spacing w:after="0" w:line="240" w:lineRule="auto"/>
              <w:jc w:val="center"/>
              <w:rPr>
                <w:rFonts w:ascii="Calibri" w:eastAsia="Times New Roman" w:hAnsi="Calibri" w:cs="Calibri"/>
                <w:b/>
                <w:bCs/>
                <w:lang w:eastAsia="fr-FR"/>
              </w:rPr>
            </w:pPr>
            <w:r w:rsidRPr="00E73F3B">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43F1FA93" w14:textId="77777777" w:rsidR="00781FDA" w:rsidRPr="00E73F3B" w:rsidRDefault="00781FDA" w:rsidP="00F65C73">
            <w:pPr>
              <w:spacing w:after="0" w:line="240" w:lineRule="auto"/>
              <w:jc w:val="center"/>
              <w:rPr>
                <w:rFonts w:ascii="Calibri" w:eastAsia="Times New Roman" w:hAnsi="Calibri" w:cs="Calibri"/>
                <w:b/>
                <w:bCs/>
                <w:lang w:eastAsia="fr-FR"/>
              </w:rPr>
            </w:pPr>
            <w:r w:rsidRPr="00E73F3B">
              <w:rPr>
                <w:rFonts w:ascii="Calibri" w:eastAsia="Times New Roman" w:hAnsi="Calibri" w:cs="Calibri"/>
                <w:b/>
                <w:bCs/>
                <w:lang w:eastAsia="fr-FR"/>
              </w:rPr>
              <w:t>Numéro</w:t>
            </w:r>
          </w:p>
        </w:tc>
        <w:tc>
          <w:tcPr>
            <w:tcW w:w="4021" w:type="dxa"/>
            <w:tcBorders>
              <w:top w:val="single" w:sz="4" w:space="0" w:color="auto"/>
              <w:left w:val="nil"/>
              <w:bottom w:val="single" w:sz="4" w:space="0" w:color="auto"/>
              <w:right w:val="single" w:sz="4" w:space="0" w:color="auto"/>
            </w:tcBorders>
            <w:shd w:val="clear" w:color="000000" w:fill="D9D9D9"/>
            <w:vAlign w:val="center"/>
            <w:hideMark/>
          </w:tcPr>
          <w:p w14:paraId="3526A7C7" w14:textId="77777777" w:rsidR="00781FDA" w:rsidRPr="00E73F3B" w:rsidRDefault="00781FDA" w:rsidP="00F65C73">
            <w:pPr>
              <w:spacing w:after="0" w:line="240" w:lineRule="auto"/>
              <w:jc w:val="center"/>
              <w:rPr>
                <w:rFonts w:ascii="Calibri" w:eastAsia="Times New Roman" w:hAnsi="Calibri" w:cs="Calibri"/>
                <w:b/>
                <w:bCs/>
                <w:lang w:eastAsia="fr-FR"/>
              </w:rPr>
            </w:pPr>
            <w:r w:rsidRPr="00E73F3B">
              <w:rPr>
                <w:rFonts w:ascii="Calibri" w:eastAsia="Times New Roman" w:hAnsi="Calibri" w:cs="Calibri"/>
                <w:b/>
                <w:bCs/>
                <w:lang w:eastAsia="fr-FR"/>
              </w:rPr>
              <w:t>Intitulé</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26FF56FC" w14:textId="77777777" w:rsidR="00781FDA" w:rsidRPr="00E73F3B" w:rsidRDefault="00781FDA" w:rsidP="00F65C73">
            <w:pPr>
              <w:spacing w:after="0" w:line="240" w:lineRule="auto"/>
              <w:jc w:val="center"/>
              <w:rPr>
                <w:rFonts w:ascii="Calibri" w:eastAsia="Times New Roman" w:hAnsi="Calibri" w:cs="Calibri"/>
                <w:b/>
                <w:bCs/>
                <w:lang w:eastAsia="fr-FR"/>
              </w:rPr>
            </w:pPr>
            <w:r w:rsidRPr="00E73F3B">
              <w:rPr>
                <w:rFonts w:ascii="Calibri" w:eastAsia="Times New Roman" w:hAnsi="Calibri" w:cs="Calibri"/>
                <w:b/>
                <w:bCs/>
                <w:lang w:eastAsia="fr-FR"/>
              </w:rPr>
              <w:t>Valeur 2024</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2CB8C549" w14:textId="77777777" w:rsidR="00781FDA" w:rsidRPr="00E73F3B" w:rsidRDefault="00781FDA" w:rsidP="00F65C73">
            <w:pPr>
              <w:spacing w:after="0" w:line="240" w:lineRule="auto"/>
              <w:jc w:val="center"/>
              <w:rPr>
                <w:rFonts w:ascii="Calibri" w:eastAsia="Times New Roman" w:hAnsi="Calibri" w:cs="Calibri"/>
                <w:b/>
                <w:bCs/>
                <w:lang w:eastAsia="fr-FR"/>
              </w:rPr>
            </w:pPr>
            <w:r w:rsidRPr="00E73F3B">
              <w:rPr>
                <w:rFonts w:ascii="Calibri" w:eastAsia="Times New Roman" w:hAnsi="Calibri" w:cs="Calibri"/>
                <w:b/>
                <w:bCs/>
                <w:lang w:eastAsia="fr-FR"/>
              </w:rPr>
              <w:t>Valeur 2029</w:t>
            </w:r>
          </w:p>
        </w:tc>
        <w:tc>
          <w:tcPr>
            <w:tcW w:w="2414" w:type="dxa"/>
            <w:tcBorders>
              <w:top w:val="single" w:sz="4" w:space="0" w:color="auto"/>
              <w:left w:val="nil"/>
              <w:bottom w:val="single" w:sz="4" w:space="0" w:color="auto"/>
              <w:right w:val="single" w:sz="4" w:space="0" w:color="auto"/>
            </w:tcBorders>
            <w:shd w:val="clear" w:color="000000" w:fill="FFFF00"/>
            <w:vAlign w:val="center"/>
            <w:hideMark/>
          </w:tcPr>
          <w:p w14:paraId="47753CCA" w14:textId="77777777" w:rsidR="00781FDA" w:rsidRPr="00E73F3B" w:rsidRDefault="00781FDA" w:rsidP="00F65C73">
            <w:pPr>
              <w:spacing w:after="0" w:line="240" w:lineRule="auto"/>
              <w:jc w:val="center"/>
              <w:rPr>
                <w:rFonts w:ascii="Calibri" w:eastAsia="Times New Roman" w:hAnsi="Calibri" w:cs="Calibri"/>
                <w:b/>
                <w:bCs/>
                <w:lang w:eastAsia="fr-FR"/>
              </w:rPr>
            </w:pPr>
            <w:r w:rsidRPr="00E73F3B">
              <w:rPr>
                <w:rFonts w:ascii="Calibri" w:eastAsia="Times New Roman" w:hAnsi="Calibri" w:cs="Calibri"/>
                <w:b/>
                <w:bCs/>
                <w:lang w:eastAsia="fr-FR"/>
              </w:rPr>
              <w:t>Pièces justificatives</w:t>
            </w:r>
          </w:p>
        </w:tc>
      </w:tr>
      <w:tr w:rsidR="00781FDA" w:rsidRPr="00E73F3B" w14:paraId="3F42DEAD" w14:textId="77777777" w:rsidTr="00F65C73">
        <w:trPr>
          <w:trHeight w:val="731"/>
        </w:trPr>
        <w:tc>
          <w:tcPr>
            <w:tcW w:w="1128" w:type="dxa"/>
            <w:tcBorders>
              <w:top w:val="nil"/>
              <w:left w:val="single" w:sz="4" w:space="0" w:color="auto"/>
              <w:bottom w:val="single" w:sz="4" w:space="0" w:color="auto"/>
              <w:right w:val="single" w:sz="4" w:space="0" w:color="auto"/>
            </w:tcBorders>
            <w:shd w:val="clear" w:color="000000" w:fill="FFFFFF"/>
            <w:vAlign w:val="center"/>
            <w:hideMark/>
          </w:tcPr>
          <w:p w14:paraId="4AD770B8" w14:textId="77777777" w:rsidR="00781FDA" w:rsidRPr="00E73F3B" w:rsidRDefault="00781FDA" w:rsidP="00F65C73">
            <w:pPr>
              <w:spacing w:after="0" w:line="240" w:lineRule="auto"/>
              <w:jc w:val="center"/>
              <w:rPr>
                <w:rFonts w:ascii="Calibri" w:eastAsia="Times New Roman" w:hAnsi="Calibri" w:cs="Calibri"/>
                <w:b/>
                <w:bCs/>
                <w:color w:val="5B9BD5"/>
                <w:lang w:eastAsia="fr-FR"/>
              </w:rPr>
            </w:pPr>
            <w:r w:rsidRPr="00E73F3B">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460C11BE" w14:textId="77777777" w:rsidR="00781FDA" w:rsidRPr="00E73F3B" w:rsidRDefault="00781FDA" w:rsidP="00F65C73">
            <w:pPr>
              <w:spacing w:after="0" w:line="240" w:lineRule="auto"/>
              <w:jc w:val="center"/>
              <w:rPr>
                <w:rFonts w:ascii="Calibri" w:eastAsia="Times New Roman" w:hAnsi="Calibri" w:cs="Calibri"/>
                <w:lang w:eastAsia="fr-FR"/>
              </w:rPr>
            </w:pPr>
            <w:r w:rsidRPr="00E73F3B">
              <w:rPr>
                <w:rFonts w:ascii="Calibri" w:eastAsia="Times New Roman" w:hAnsi="Calibri" w:cs="Calibri"/>
                <w:lang w:eastAsia="fr-FR"/>
              </w:rPr>
              <w:t>RCO14</w:t>
            </w:r>
          </w:p>
        </w:tc>
        <w:tc>
          <w:tcPr>
            <w:tcW w:w="4021" w:type="dxa"/>
            <w:tcBorders>
              <w:top w:val="nil"/>
              <w:left w:val="nil"/>
              <w:bottom w:val="single" w:sz="4" w:space="0" w:color="auto"/>
              <w:right w:val="single" w:sz="4" w:space="0" w:color="auto"/>
            </w:tcBorders>
            <w:shd w:val="clear" w:color="000000" w:fill="FFFFFF"/>
            <w:vAlign w:val="center"/>
            <w:hideMark/>
          </w:tcPr>
          <w:p w14:paraId="58118A20" w14:textId="77777777" w:rsidR="00781FDA" w:rsidRPr="00E73F3B" w:rsidRDefault="00781FDA" w:rsidP="00F65C73">
            <w:pPr>
              <w:spacing w:after="0" w:line="240" w:lineRule="auto"/>
              <w:rPr>
                <w:rFonts w:ascii="Calibri" w:eastAsia="Times New Roman" w:hAnsi="Calibri" w:cs="Calibri"/>
                <w:lang w:eastAsia="fr-FR"/>
              </w:rPr>
            </w:pPr>
            <w:r w:rsidRPr="00E73F3B">
              <w:rPr>
                <w:rFonts w:ascii="Calibri" w:eastAsia="Times New Roman" w:hAnsi="Calibri" w:cs="Calibri"/>
                <w:lang w:eastAsia="fr-FR"/>
              </w:rPr>
              <w:t>Instituts publics bénéficiant d’un soutien pour l’élaboration de services, produits et processus numériques</w:t>
            </w:r>
          </w:p>
        </w:tc>
        <w:tc>
          <w:tcPr>
            <w:tcW w:w="1121" w:type="dxa"/>
            <w:tcBorders>
              <w:top w:val="nil"/>
              <w:left w:val="nil"/>
              <w:bottom w:val="single" w:sz="4" w:space="0" w:color="auto"/>
              <w:right w:val="single" w:sz="4" w:space="0" w:color="auto"/>
            </w:tcBorders>
            <w:shd w:val="clear" w:color="000000" w:fill="FFFFFF"/>
            <w:vAlign w:val="center"/>
            <w:hideMark/>
          </w:tcPr>
          <w:p w14:paraId="33ECE13E" w14:textId="77777777" w:rsidR="00781FDA" w:rsidRPr="00E73F3B" w:rsidRDefault="00781FDA" w:rsidP="00F65C73">
            <w:pPr>
              <w:spacing w:after="0" w:line="240" w:lineRule="auto"/>
              <w:jc w:val="center"/>
              <w:rPr>
                <w:rFonts w:ascii="Calibri" w:eastAsia="Times New Roman" w:hAnsi="Calibri" w:cs="Calibri"/>
                <w:lang w:eastAsia="fr-FR"/>
              </w:rPr>
            </w:pPr>
            <w:r w:rsidRPr="00E73F3B">
              <w:rPr>
                <w:rFonts w:ascii="Calibri" w:eastAsia="Times New Roman" w:hAnsi="Calibri" w:cs="Calibri"/>
                <w:lang w:eastAsia="fr-FR"/>
              </w:rPr>
              <w:t>2</w:t>
            </w:r>
          </w:p>
        </w:tc>
        <w:tc>
          <w:tcPr>
            <w:tcW w:w="1121" w:type="dxa"/>
            <w:tcBorders>
              <w:top w:val="nil"/>
              <w:left w:val="nil"/>
              <w:bottom w:val="single" w:sz="4" w:space="0" w:color="auto"/>
              <w:right w:val="single" w:sz="4" w:space="0" w:color="auto"/>
            </w:tcBorders>
            <w:shd w:val="clear" w:color="000000" w:fill="FFFFFF"/>
            <w:vAlign w:val="center"/>
            <w:hideMark/>
          </w:tcPr>
          <w:p w14:paraId="2189C56B" w14:textId="77777777" w:rsidR="00781FDA" w:rsidRPr="00E73F3B" w:rsidRDefault="00781FDA" w:rsidP="00F65C73">
            <w:pPr>
              <w:spacing w:after="0" w:line="240" w:lineRule="auto"/>
              <w:jc w:val="center"/>
              <w:rPr>
                <w:rFonts w:ascii="Calibri" w:eastAsia="Times New Roman" w:hAnsi="Calibri" w:cs="Calibri"/>
                <w:lang w:eastAsia="fr-FR"/>
              </w:rPr>
            </w:pPr>
            <w:r w:rsidRPr="00E73F3B">
              <w:rPr>
                <w:rFonts w:ascii="Calibri" w:eastAsia="Times New Roman" w:hAnsi="Calibri" w:cs="Calibri"/>
                <w:lang w:eastAsia="fr-FR"/>
              </w:rPr>
              <w:t>5</w:t>
            </w:r>
          </w:p>
        </w:tc>
        <w:tc>
          <w:tcPr>
            <w:tcW w:w="2414" w:type="dxa"/>
            <w:tcBorders>
              <w:top w:val="nil"/>
              <w:left w:val="nil"/>
              <w:bottom w:val="single" w:sz="4" w:space="0" w:color="auto"/>
              <w:right w:val="single" w:sz="4" w:space="0" w:color="auto"/>
            </w:tcBorders>
            <w:shd w:val="clear" w:color="000000" w:fill="FFFFFF"/>
            <w:vAlign w:val="center"/>
            <w:hideMark/>
          </w:tcPr>
          <w:p w14:paraId="3D674EB2" w14:textId="77777777" w:rsidR="00781FDA" w:rsidRPr="00E73F3B" w:rsidRDefault="00781FDA" w:rsidP="00F65C73">
            <w:pPr>
              <w:spacing w:after="0" w:line="240" w:lineRule="auto"/>
              <w:jc w:val="center"/>
              <w:rPr>
                <w:rFonts w:ascii="Calibri" w:eastAsia="Times New Roman" w:hAnsi="Calibri" w:cs="Calibri"/>
                <w:lang w:eastAsia="fr-FR"/>
              </w:rPr>
            </w:pPr>
            <w:r w:rsidRPr="00E73F3B">
              <w:rPr>
                <w:rFonts w:ascii="Calibri" w:eastAsia="Times New Roman" w:hAnsi="Calibri" w:cs="Calibri"/>
                <w:lang w:eastAsia="fr-FR"/>
              </w:rPr>
              <w:t>Liste n° SIRET</w:t>
            </w:r>
          </w:p>
        </w:tc>
      </w:tr>
      <w:tr w:rsidR="00781FDA" w:rsidRPr="00E73F3B" w14:paraId="16BEA9C3" w14:textId="77777777" w:rsidTr="00F65C73">
        <w:trPr>
          <w:trHeight w:val="731"/>
        </w:trPr>
        <w:tc>
          <w:tcPr>
            <w:tcW w:w="1128" w:type="dxa"/>
            <w:tcBorders>
              <w:top w:val="nil"/>
              <w:left w:val="single" w:sz="4" w:space="0" w:color="auto"/>
              <w:bottom w:val="single" w:sz="4" w:space="0" w:color="auto"/>
              <w:right w:val="single" w:sz="4" w:space="0" w:color="auto"/>
            </w:tcBorders>
            <w:shd w:val="clear" w:color="000000" w:fill="FFFFFF"/>
            <w:vAlign w:val="center"/>
            <w:hideMark/>
          </w:tcPr>
          <w:p w14:paraId="03656ECA" w14:textId="77777777" w:rsidR="00781FDA" w:rsidRPr="00E73F3B" w:rsidRDefault="00781FDA" w:rsidP="00F65C73">
            <w:pPr>
              <w:spacing w:after="0" w:line="240" w:lineRule="auto"/>
              <w:jc w:val="center"/>
              <w:rPr>
                <w:rFonts w:ascii="Calibri" w:eastAsia="Times New Roman" w:hAnsi="Calibri" w:cs="Calibri"/>
                <w:b/>
                <w:bCs/>
                <w:color w:val="5B9BD5"/>
                <w:lang w:eastAsia="fr-FR"/>
              </w:rPr>
            </w:pPr>
            <w:r w:rsidRPr="00E73F3B">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6557E9FC" w14:textId="77777777" w:rsidR="00781FDA" w:rsidRPr="00E73F3B" w:rsidRDefault="00781FDA" w:rsidP="00F65C73">
            <w:pPr>
              <w:spacing w:after="0" w:line="240" w:lineRule="auto"/>
              <w:jc w:val="center"/>
              <w:rPr>
                <w:rFonts w:ascii="Calibri" w:eastAsia="Times New Roman" w:hAnsi="Calibri" w:cs="Calibri"/>
                <w:lang w:eastAsia="fr-FR"/>
              </w:rPr>
            </w:pPr>
            <w:r w:rsidRPr="00E73F3B">
              <w:rPr>
                <w:rFonts w:ascii="Calibri" w:eastAsia="Times New Roman" w:hAnsi="Calibri" w:cs="Calibri"/>
                <w:lang w:eastAsia="fr-FR"/>
              </w:rPr>
              <w:t>SO01</w:t>
            </w:r>
          </w:p>
        </w:tc>
        <w:tc>
          <w:tcPr>
            <w:tcW w:w="4021" w:type="dxa"/>
            <w:tcBorders>
              <w:top w:val="nil"/>
              <w:left w:val="nil"/>
              <w:bottom w:val="single" w:sz="4" w:space="0" w:color="auto"/>
              <w:right w:val="single" w:sz="4" w:space="0" w:color="auto"/>
            </w:tcBorders>
            <w:shd w:val="clear" w:color="000000" w:fill="FFFFFF"/>
            <w:vAlign w:val="center"/>
            <w:hideMark/>
          </w:tcPr>
          <w:p w14:paraId="78B867FF" w14:textId="77777777" w:rsidR="00781FDA" w:rsidRPr="00E73F3B" w:rsidRDefault="00781FDA" w:rsidP="00F65C73">
            <w:pPr>
              <w:spacing w:after="0" w:line="240" w:lineRule="auto"/>
              <w:rPr>
                <w:rFonts w:ascii="Calibri" w:eastAsia="Times New Roman" w:hAnsi="Calibri" w:cs="Calibri"/>
                <w:lang w:eastAsia="fr-FR"/>
              </w:rPr>
            </w:pPr>
            <w:r w:rsidRPr="00E73F3B">
              <w:rPr>
                <w:rFonts w:ascii="Calibri" w:eastAsia="Times New Roman" w:hAnsi="Calibri" w:cs="Calibri"/>
                <w:lang w:eastAsia="fr-FR"/>
              </w:rPr>
              <w:t xml:space="preserve">Nombre de nouveaux services numériques expérimentés à travers les projets soutenus par le FEDER </w:t>
            </w:r>
          </w:p>
        </w:tc>
        <w:tc>
          <w:tcPr>
            <w:tcW w:w="1121" w:type="dxa"/>
            <w:tcBorders>
              <w:top w:val="nil"/>
              <w:left w:val="nil"/>
              <w:bottom w:val="single" w:sz="4" w:space="0" w:color="auto"/>
              <w:right w:val="single" w:sz="4" w:space="0" w:color="auto"/>
            </w:tcBorders>
            <w:shd w:val="clear" w:color="000000" w:fill="FFFFFF"/>
            <w:vAlign w:val="center"/>
            <w:hideMark/>
          </w:tcPr>
          <w:p w14:paraId="557AA0B7" w14:textId="77777777" w:rsidR="00781FDA" w:rsidRPr="00E73F3B" w:rsidRDefault="00781FDA" w:rsidP="00F65C73">
            <w:pPr>
              <w:spacing w:after="0" w:line="240" w:lineRule="auto"/>
              <w:jc w:val="center"/>
              <w:rPr>
                <w:rFonts w:ascii="Calibri" w:eastAsia="Times New Roman" w:hAnsi="Calibri" w:cs="Calibri"/>
                <w:lang w:eastAsia="fr-FR"/>
              </w:rPr>
            </w:pPr>
            <w:r w:rsidRPr="00E73F3B">
              <w:rPr>
                <w:rFonts w:ascii="Calibri" w:eastAsia="Times New Roman" w:hAnsi="Calibri" w:cs="Calibri"/>
                <w:lang w:eastAsia="fr-FR"/>
              </w:rPr>
              <w:t>4</w:t>
            </w:r>
          </w:p>
        </w:tc>
        <w:tc>
          <w:tcPr>
            <w:tcW w:w="1121" w:type="dxa"/>
            <w:tcBorders>
              <w:top w:val="nil"/>
              <w:left w:val="nil"/>
              <w:bottom w:val="single" w:sz="4" w:space="0" w:color="auto"/>
              <w:right w:val="single" w:sz="4" w:space="0" w:color="auto"/>
            </w:tcBorders>
            <w:shd w:val="clear" w:color="000000" w:fill="FFFFFF"/>
            <w:vAlign w:val="center"/>
            <w:hideMark/>
          </w:tcPr>
          <w:p w14:paraId="5C7468B7" w14:textId="77777777" w:rsidR="00781FDA" w:rsidRPr="00E73F3B" w:rsidRDefault="00781FDA" w:rsidP="00F65C73">
            <w:pPr>
              <w:spacing w:after="0" w:line="240" w:lineRule="auto"/>
              <w:jc w:val="center"/>
              <w:rPr>
                <w:rFonts w:ascii="Calibri" w:eastAsia="Times New Roman" w:hAnsi="Calibri" w:cs="Calibri"/>
                <w:lang w:eastAsia="fr-FR"/>
              </w:rPr>
            </w:pPr>
            <w:r w:rsidRPr="00E73F3B">
              <w:rPr>
                <w:rFonts w:ascii="Calibri" w:eastAsia="Times New Roman" w:hAnsi="Calibri" w:cs="Calibri"/>
                <w:lang w:eastAsia="fr-FR"/>
              </w:rPr>
              <w:t>8</w:t>
            </w:r>
          </w:p>
        </w:tc>
        <w:tc>
          <w:tcPr>
            <w:tcW w:w="2414" w:type="dxa"/>
            <w:tcBorders>
              <w:top w:val="nil"/>
              <w:left w:val="nil"/>
              <w:bottom w:val="single" w:sz="4" w:space="0" w:color="auto"/>
              <w:right w:val="single" w:sz="4" w:space="0" w:color="auto"/>
            </w:tcBorders>
            <w:shd w:val="clear" w:color="000000" w:fill="FFFFFF"/>
            <w:vAlign w:val="center"/>
            <w:hideMark/>
          </w:tcPr>
          <w:p w14:paraId="78E22552" w14:textId="77777777" w:rsidR="00781FDA" w:rsidRPr="00E73F3B" w:rsidRDefault="00781FDA" w:rsidP="00F65C73">
            <w:pPr>
              <w:spacing w:after="0" w:line="240" w:lineRule="auto"/>
              <w:jc w:val="center"/>
              <w:rPr>
                <w:rFonts w:ascii="Calibri" w:eastAsia="Times New Roman" w:hAnsi="Calibri" w:cs="Calibri"/>
                <w:lang w:eastAsia="fr-FR"/>
              </w:rPr>
            </w:pPr>
            <w:r w:rsidRPr="00E73F3B">
              <w:rPr>
                <w:rFonts w:ascii="Calibri" w:eastAsia="Times New Roman" w:hAnsi="Calibri" w:cs="Calibri"/>
                <w:lang w:eastAsia="fr-FR"/>
              </w:rPr>
              <w:t>Bilan d'exécution</w:t>
            </w:r>
          </w:p>
        </w:tc>
      </w:tr>
      <w:tr w:rsidR="00781FDA" w:rsidRPr="00E73F3B" w14:paraId="4B494A15" w14:textId="77777777" w:rsidTr="00F65C73">
        <w:trPr>
          <w:trHeight w:val="243"/>
        </w:trPr>
        <w:tc>
          <w:tcPr>
            <w:tcW w:w="1128" w:type="dxa"/>
            <w:tcBorders>
              <w:top w:val="nil"/>
              <w:left w:val="single" w:sz="4" w:space="0" w:color="auto"/>
              <w:bottom w:val="single" w:sz="4" w:space="0" w:color="auto"/>
              <w:right w:val="single" w:sz="4" w:space="0" w:color="auto"/>
            </w:tcBorders>
            <w:shd w:val="clear" w:color="000000" w:fill="FFFFFF"/>
            <w:vAlign w:val="center"/>
            <w:hideMark/>
          </w:tcPr>
          <w:p w14:paraId="2B8351C4" w14:textId="77777777" w:rsidR="00781FDA" w:rsidRPr="00E73F3B" w:rsidRDefault="00781FDA" w:rsidP="00F65C73">
            <w:pPr>
              <w:spacing w:after="0" w:line="240" w:lineRule="auto"/>
              <w:jc w:val="center"/>
              <w:rPr>
                <w:rFonts w:ascii="Calibri" w:eastAsia="Times New Roman" w:hAnsi="Calibri" w:cs="Calibri"/>
                <w:b/>
                <w:bCs/>
                <w:color w:val="70AD47"/>
                <w:lang w:eastAsia="fr-FR"/>
              </w:rPr>
            </w:pPr>
            <w:r w:rsidRPr="00E73F3B">
              <w:rPr>
                <w:rFonts w:ascii="Calibri" w:eastAsia="Times New Roman" w:hAnsi="Calibri" w:cs="Calibri"/>
                <w:b/>
                <w:bCs/>
                <w:color w:val="70AD47"/>
                <w:lang w:eastAsia="fr-FR"/>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67E4A152" w14:textId="77777777" w:rsidR="00781FDA" w:rsidRPr="00E73F3B" w:rsidRDefault="00781FDA" w:rsidP="00F65C73">
            <w:pPr>
              <w:spacing w:after="0" w:line="240" w:lineRule="auto"/>
              <w:jc w:val="center"/>
              <w:rPr>
                <w:rFonts w:ascii="Calibri" w:eastAsia="Times New Roman" w:hAnsi="Calibri" w:cs="Calibri"/>
                <w:lang w:eastAsia="fr-FR"/>
              </w:rPr>
            </w:pPr>
            <w:r w:rsidRPr="00E73F3B">
              <w:rPr>
                <w:rFonts w:ascii="Calibri" w:eastAsia="Times New Roman" w:hAnsi="Calibri" w:cs="Calibri"/>
                <w:lang w:eastAsia="fr-FR"/>
              </w:rPr>
              <w:t>RCR11</w:t>
            </w:r>
          </w:p>
        </w:tc>
        <w:tc>
          <w:tcPr>
            <w:tcW w:w="4021" w:type="dxa"/>
            <w:tcBorders>
              <w:top w:val="nil"/>
              <w:left w:val="nil"/>
              <w:bottom w:val="single" w:sz="4" w:space="0" w:color="auto"/>
              <w:right w:val="single" w:sz="4" w:space="0" w:color="auto"/>
            </w:tcBorders>
            <w:shd w:val="clear" w:color="000000" w:fill="FFFFFF"/>
            <w:vAlign w:val="center"/>
            <w:hideMark/>
          </w:tcPr>
          <w:p w14:paraId="490DADD1" w14:textId="77777777" w:rsidR="00781FDA" w:rsidRPr="00E73F3B" w:rsidRDefault="00781FDA" w:rsidP="00F65C73">
            <w:pPr>
              <w:spacing w:after="0" w:line="240" w:lineRule="auto"/>
              <w:rPr>
                <w:rFonts w:ascii="Calibri" w:eastAsia="Times New Roman" w:hAnsi="Calibri" w:cs="Calibri"/>
                <w:lang w:eastAsia="fr-FR"/>
              </w:rPr>
            </w:pPr>
            <w:r w:rsidRPr="00E73F3B">
              <w:rPr>
                <w:rFonts w:ascii="Calibri" w:eastAsia="Times New Roman" w:hAnsi="Calibri" w:cs="Calibri"/>
                <w:lang w:eastAsia="fr-FR"/>
              </w:rPr>
              <w:t>Utilisateurs de services, produits et processus numériques publics, nouveaux et réaménagés</w:t>
            </w:r>
          </w:p>
        </w:tc>
        <w:tc>
          <w:tcPr>
            <w:tcW w:w="1121"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2CD1FB66" w14:textId="77777777" w:rsidR="00781FDA" w:rsidRPr="00E73F3B" w:rsidRDefault="00781FDA" w:rsidP="00F65C73">
            <w:pPr>
              <w:spacing w:after="0" w:line="240" w:lineRule="auto"/>
              <w:jc w:val="center"/>
              <w:rPr>
                <w:rFonts w:ascii="Calibri" w:eastAsia="Times New Roman" w:hAnsi="Calibri" w:cs="Calibri"/>
                <w:lang w:eastAsia="fr-FR"/>
              </w:rPr>
            </w:pPr>
            <w:r w:rsidRPr="00E73F3B">
              <w:rPr>
                <w:rFonts w:ascii="Calibri" w:eastAsia="Times New Roman" w:hAnsi="Calibri" w:cs="Calibri"/>
                <w:lang w:eastAsia="fr-FR"/>
              </w:rPr>
              <w:t> </w:t>
            </w:r>
          </w:p>
        </w:tc>
        <w:tc>
          <w:tcPr>
            <w:tcW w:w="1121" w:type="dxa"/>
            <w:tcBorders>
              <w:top w:val="nil"/>
              <w:left w:val="nil"/>
              <w:bottom w:val="single" w:sz="4" w:space="0" w:color="auto"/>
              <w:right w:val="single" w:sz="4" w:space="0" w:color="auto"/>
            </w:tcBorders>
            <w:shd w:val="clear" w:color="000000" w:fill="FFFFFF"/>
            <w:vAlign w:val="center"/>
            <w:hideMark/>
          </w:tcPr>
          <w:p w14:paraId="0EA6550B" w14:textId="77777777" w:rsidR="00781FDA" w:rsidRPr="00E73F3B" w:rsidRDefault="00781FDA" w:rsidP="00F65C73">
            <w:pPr>
              <w:spacing w:after="0" w:line="240" w:lineRule="auto"/>
              <w:jc w:val="center"/>
              <w:rPr>
                <w:rFonts w:ascii="Calibri" w:eastAsia="Times New Roman" w:hAnsi="Calibri" w:cs="Calibri"/>
                <w:lang w:eastAsia="fr-FR"/>
              </w:rPr>
            </w:pPr>
            <w:r w:rsidRPr="00E73F3B">
              <w:rPr>
                <w:rFonts w:ascii="Calibri" w:eastAsia="Times New Roman" w:hAnsi="Calibri" w:cs="Calibri"/>
                <w:lang w:eastAsia="fr-FR"/>
              </w:rPr>
              <w:t>28 927</w:t>
            </w:r>
          </w:p>
        </w:tc>
        <w:tc>
          <w:tcPr>
            <w:tcW w:w="2414" w:type="dxa"/>
            <w:tcBorders>
              <w:top w:val="nil"/>
              <w:left w:val="nil"/>
              <w:bottom w:val="single" w:sz="4" w:space="0" w:color="auto"/>
              <w:right w:val="single" w:sz="4" w:space="0" w:color="auto"/>
            </w:tcBorders>
            <w:shd w:val="clear" w:color="000000" w:fill="FFFFFF"/>
            <w:vAlign w:val="center"/>
            <w:hideMark/>
          </w:tcPr>
          <w:p w14:paraId="1E194A6F" w14:textId="77777777" w:rsidR="00781FDA" w:rsidRPr="00E73F3B" w:rsidRDefault="00781FDA" w:rsidP="00F65C73">
            <w:pPr>
              <w:spacing w:after="0" w:line="240" w:lineRule="auto"/>
              <w:jc w:val="center"/>
              <w:rPr>
                <w:rFonts w:ascii="Calibri" w:eastAsia="Times New Roman" w:hAnsi="Calibri" w:cs="Calibri"/>
                <w:lang w:eastAsia="fr-FR"/>
              </w:rPr>
            </w:pPr>
            <w:r w:rsidRPr="00E73F3B">
              <w:rPr>
                <w:rFonts w:ascii="Calibri" w:eastAsia="Times New Roman" w:hAnsi="Calibri" w:cs="Calibri"/>
                <w:lang w:eastAsia="fr-FR"/>
              </w:rPr>
              <w:t>Attestation déclarative</w:t>
            </w:r>
          </w:p>
        </w:tc>
      </w:tr>
    </w:tbl>
    <w:p w14:paraId="55ABE597" w14:textId="77777777" w:rsidR="00781FDA" w:rsidRDefault="00781FDA" w:rsidP="00781FDA">
      <w:pPr>
        <w:pStyle w:val="Sansinterligne"/>
        <w:jc w:val="both"/>
        <w:rPr>
          <w:b/>
          <w:bCs/>
          <w:color w:val="FFFFFF" w:themeColor="background1"/>
          <w:sz w:val="28"/>
          <w:szCs w:val="28"/>
          <w:shd w:val="clear" w:color="auto" w:fill="7030A0"/>
        </w:rPr>
      </w:pPr>
    </w:p>
    <w:p w14:paraId="40E6EC14" w14:textId="77777777" w:rsidR="00781FDA" w:rsidRDefault="00781FDA" w:rsidP="00781FDA">
      <w:pPr>
        <w:pStyle w:val="Sansinterligne"/>
        <w:jc w:val="both"/>
        <w:rPr>
          <w:b/>
          <w:bCs/>
          <w:color w:val="FFFFFF" w:themeColor="background1"/>
          <w:sz w:val="28"/>
          <w:szCs w:val="28"/>
          <w:shd w:val="clear" w:color="auto" w:fill="7030A0"/>
        </w:rPr>
      </w:pPr>
    </w:p>
    <w:p w14:paraId="75FB9E18" w14:textId="77777777" w:rsidR="00781FDA" w:rsidRPr="002C70D5" w:rsidRDefault="00781FDA" w:rsidP="00781FDA">
      <w:pPr>
        <w:pStyle w:val="Sansinterligne"/>
        <w:shd w:val="clear" w:color="auto" w:fill="E2CFF1"/>
        <w:jc w:val="both"/>
        <w:rPr>
          <w:b/>
          <w:bCs/>
          <w:sz w:val="28"/>
          <w:szCs w:val="28"/>
        </w:rPr>
      </w:pPr>
      <w:r w:rsidRPr="00DB5B1E">
        <w:rPr>
          <w:b/>
          <w:bCs/>
          <w:color w:val="FFFFFF" w:themeColor="background1"/>
          <w:sz w:val="28"/>
          <w:szCs w:val="28"/>
          <w:shd w:val="clear" w:color="auto" w:fill="7030A0"/>
        </w:rPr>
        <w:lastRenderedPageBreak/>
        <w:t>PERFORMANCE </w:t>
      </w:r>
      <w:r>
        <w:rPr>
          <w:b/>
          <w:bCs/>
          <w:sz w:val="28"/>
          <w:szCs w:val="28"/>
        </w:rPr>
        <w:t xml:space="preserve"> </w:t>
      </w:r>
      <w:r>
        <w:rPr>
          <w:b/>
          <w:bCs/>
          <w:color w:val="002060"/>
          <w:sz w:val="28"/>
          <w:szCs w:val="28"/>
        </w:rPr>
        <w:t>Cibles financières à atteindre sur l’action</w:t>
      </w:r>
    </w:p>
    <w:p w14:paraId="50ECEEF6" w14:textId="77777777" w:rsidR="00781FDA" w:rsidRDefault="00781FDA" w:rsidP="00781FDA">
      <w:pPr>
        <w:pStyle w:val="Sansinterligne"/>
        <w:jc w:val="both"/>
      </w:pPr>
    </w:p>
    <w:p w14:paraId="2C98311B" w14:textId="77777777" w:rsidR="00781FDA" w:rsidRPr="004B7734" w:rsidRDefault="00781FDA" w:rsidP="00781FDA">
      <w:pPr>
        <w:pStyle w:val="Sansinterligne"/>
        <w:jc w:val="both"/>
        <w:rPr>
          <w:b/>
          <w:bCs/>
        </w:rPr>
      </w:pPr>
      <w:r w:rsidRPr="004B7734">
        <w:rPr>
          <w:b/>
          <w:bCs/>
        </w:rPr>
        <w:t xml:space="preserve">5 340 000 € </w:t>
      </w:r>
    </w:p>
    <w:p w14:paraId="65A09533" w14:textId="77777777" w:rsidR="00781FDA" w:rsidRDefault="00781FDA" w:rsidP="00781FDA">
      <w:pPr>
        <w:pStyle w:val="Sansinterligne"/>
        <w:jc w:val="both"/>
        <w:rPr>
          <w:b/>
          <w:bCs/>
        </w:rPr>
      </w:pPr>
    </w:p>
    <w:p w14:paraId="5C88AECD" w14:textId="77777777" w:rsidR="00781FDA" w:rsidRPr="002C70D5" w:rsidRDefault="00781FDA" w:rsidP="00781FDA">
      <w:pPr>
        <w:pStyle w:val="Sansinterligne"/>
        <w:shd w:val="clear" w:color="auto" w:fill="E2CFF1"/>
        <w:jc w:val="both"/>
        <w:rPr>
          <w:b/>
          <w:bCs/>
          <w:sz w:val="28"/>
          <w:szCs w:val="28"/>
        </w:rPr>
      </w:pPr>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Instruments financiers applicables</w:t>
      </w:r>
    </w:p>
    <w:p w14:paraId="02A6D02F" w14:textId="77777777" w:rsidR="00781FDA" w:rsidRDefault="00781FDA" w:rsidP="00781FDA">
      <w:pPr>
        <w:pStyle w:val="Sansinterligne"/>
        <w:jc w:val="both"/>
      </w:pPr>
    </w:p>
    <w:tbl>
      <w:tblPr>
        <w:tblStyle w:val="Grilledutableau"/>
        <w:tblW w:w="10632" w:type="dxa"/>
        <w:tblBorders>
          <w:top w:val="none" w:sz="0" w:space="0" w:color="auto"/>
          <w:left w:val="none" w:sz="0" w:space="0" w:color="auto"/>
        </w:tblBorders>
        <w:tblLook w:val="04A0" w:firstRow="1" w:lastRow="0" w:firstColumn="1" w:lastColumn="0" w:noHBand="0" w:noVBand="1"/>
      </w:tblPr>
      <w:tblGrid>
        <w:gridCol w:w="9067"/>
        <w:gridCol w:w="1565"/>
      </w:tblGrid>
      <w:tr w:rsidR="00781FDA" w14:paraId="642AA174" w14:textId="77777777" w:rsidTr="00F65C73">
        <w:tc>
          <w:tcPr>
            <w:tcW w:w="9067" w:type="dxa"/>
            <w:tcBorders>
              <w:bottom w:val="single" w:sz="4" w:space="0" w:color="auto"/>
            </w:tcBorders>
            <w:vAlign w:val="center"/>
          </w:tcPr>
          <w:p w14:paraId="548D4927" w14:textId="77777777" w:rsidR="00781FDA" w:rsidRDefault="00781FDA" w:rsidP="00F65C73">
            <w:pPr>
              <w:pStyle w:val="Sansinterligne"/>
              <w:jc w:val="center"/>
            </w:pPr>
          </w:p>
        </w:tc>
        <w:tc>
          <w:tcPr>
            <w:tcW w:w="1565" w:type="dxa"/>
            <w:tcBorders>
              <w:top w:val="single" w:sz="4" w:space="0" w:color="auto"/>
            </w:tcBorders>
            <w:vAlign w:val="center"/>
          </w:tcPr>
          <w:p w14:paraId="4B3C5235" w14:textId="77777777" w:rsidR="00781FDA" w:rsidRPr="003077B1" w:rsidRDefault="00781FDA" w:rsidP="00F65C73">
            <w:pPr>
              <w:pStyle w:val="Sansinterligne"/>
              <w:jc w:val="center"/>
              <w:rPr>
                <w:b/>
                <w:bCs/>
              </w:rPr>
            </w:pPr>
            <w:r w:rsidRPr="003077B1">
              <w:rPr>
                <w:b/>
                <w:bCs/>
                <w:color w:val="002060"/>
              </w:rPr>
              <w:t>Mobilisable sur l’action</w:t>
            </w:r>
          </w:p>
        </w:tc>
      </w:tr>
      <w:tr w:rsidR="00781FDA" w14:paraId="32749687" w14:textId="77777777" w:rsidTr="00F65C73">
        <w:tc>
          <w:tcPr>
            <w:tcW w:w="9067" w:type="dxa"/>
            <w:tcBorders>
              <w:top w:val="single" w:sz="4" w:space="0" w:color="auto"/>
              <w:left w:val="single" w:sz="4" w:space="0" w:color="auto"/>
            </w:tcBorders>
            <w:vAlign w:val="center"/>
          </w:tcPr>
          <w:p w14:paraId="5280D60D" w14:textId="77777777" w:rsidR="00781FDA" w:rsidRDefault="00781FDA" w:rsidP="00F65C73">
            <w:pPr>
              <w:pStyle w:val="Sansinterligne"/>
            </w:pPr>
            <w:r>
              <w:t>1 – Subvention non remboursable</w:t>
            </w:r>
          </w:p>
        </w:tc>
        <w:tc>
          <w:tcPr>
            <w:tcW w:w="1565" w:type="dxa"/>
            <w:vAlign w:val="center"/>
          </w:tcPr>
          <w:p w14:paraId="33A094AE" w14:textId="77777777" w:rsidR="00781FDA" w:rsidRDefault="00781FDA" w:rsidP="00F65C73">
            <w:pPr>
              <w:pStyle w:val="Sansinterligne"/>
              <w:jc w:val="center"/>
            </w:pPr>
            <w:r>
              <w:rPr>
                <w:b/>
                <w:bCs/>
                <w:noProof/>
                <w:color w:val="002060"/>
              </w:rPr>
              <w:drawing>
                <wp:inline distT="0" distB="0" distL="0" distR="0" wp14:anchorId="25E3C3A8" wp14:editId="2DD5CC1D">
                  <wp:extent cx="262393" cy="262393"/>
                  <wp:effectExtent l="0" t="0" r="4445" b="4445"/>
                  <wp:docPr id="784945840" name="Graphique 78494584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781FDA" w14:paraId="76F6F112" w14:textId="77777777" w:rsidTr="00F65C73">
        <w:tc>
          <w:tcPr>
            <w:tcW w:w="9067" w:type="dxa"/>
            <w:tcBorders>
              <w:top w:val="single" w:sz="4" w:space="0" w:color="auto"/>
              <w:left w:val="single" w:sz="4" w:space="0" w:color="auto"/>
            </w:tcBorders>
            <w:vAlign w:val="center"/>
          </w:tcPr>
          <w:p w14:paraId="3DBF7F2D" w14:textId="77777777" w:rsidR="00781FDA" w:rsidRDefault="00781FDA" w:rsidP="00F65C73">
            <w:pPr>
              <w:pStyle w:val="Sansinterligne"/>
            </w:pPr>
            <w:r>
              <w:t>2 – Subvention remboursable</w:t>
            </w:r>
          </w:p>
        </w:tc>
        <w:tc>
          <w:tcPr>
            <w:tcW w:w="1565" w:type="dxa"/>
            <w:vAlign w:val="center"/>
          </w:tcPr>
          <w:p w14:paraId="767EBBC8" w14:textId="77777777" w:rsidR="00781FDA" w:rsidRDefault="00781FDA" w:rsidP="00F65C73">
            <w:pPr>
              <w:pStyle w:val="Sansinterligne"/>
              <w:jc w:val="center"/>
            </w:pPr>
            <w:r>
              <w:rPr>
                <w:b/>
                <w:bCs/>
                <w:noProof/>
                <w:color w:val="002060"/>
              </w:rPr>
              <w:drawing>
                <wp:inline distT="0" distB="0" distL="0" distR="0" wp14:anchorId="7E044455" wp14:editId="04BE5BE1">
                  <wp:extent cx="230588" cy="230588"/>
                  <wp:effectExtent l="0" t="0" r="0" b="0"/>
                  <wp:docPr id="784945841" name="Graphique 78494584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781FDA" w14:paraId="6AB1DF90" w14:textId="77777777" w:rsidTr="00F65C73">
        <w:tc>
          <w:tcPr>
            <w:tcW w:w="9067" w:type="dxa"/>
            <w:tcBorders>
              <w:top w:val="single" w:sz="4" w:space="0" w:color="auto"/>
              <w:left w:val="single" w:sz="4" w:space="0" w:color="auto"/>
            </w:tcBorders>
            <w:vAlign w:val="center"/>
          </w:tcPr>
          <w:p w14:paraId="7A8B44D5" w14:textId="77777777" w:rsidR="00781FDA" w:rsidRDefault="00781FDA" w:rsidP="00F65C73">
            <w:pPr>
              <w:pStyle w:val="Sansinterligne"/>
            </w:pPr>
            <w:r>
              <w:t xml:space="preserve">3 – </w:t>
            </w:r>
            <w:r w:rsidRPr="003077B1">
              <w:t>Soutien par le biais d’instruments financiers : capital risque et de fonds propres ou équivalent</w:t>
            </w:r>
          </w:p>
        </w:tc>
        <w:tc>
          <w:tcPr>
            <w:tcW w:w="1565" w:type="dxa"/>
            <w:vAlign w:val="center"/>
          </w:tcPr>
          <w:p w14:paraId="4BDCA4FA" w14:textId="77777777" w:rsidR="00781FDA" w:rsidRDefault="00781FDA" w:rsidP="00F65C73">
            <w:pPr>
              <w:pStyle w:val="Sansinterligne"/>
              <w:jc w:val="center"/>
            </w:pPr>
            <w:r>
              <w:rPr>
                <w:b/>
                <w:bCs/>
                <w:noProof/>
                <w:color w:val="002060"/>
              </w:rPr>
              <w:drawing>
                <wp:inline distT="0" distB="0" distL="0" distR="0" wp14:anchorId="15D788E7" wp14:editId="08ABC84F">
                  <wp:extent cx="230588" cy="230588"/>
                  <wp:effectExtent l="0" t="0" r="0" b="0"/>
                  <wp:docPr id="784945842" name="Graphique 78494584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781FDA" w14:paraId="69506D1C" w14:textId="77777777" w:rsidTr="00F65C73">
        <w:tc>
          <w:tcPr>
            <w:tcW w:w="9067" w:type="dxa"/>
            <w:tcBorders>
              <w:top w:val="single" w:sz="4" w:space="0" w:color="auto"/>
              <w:left w:val="single" w:sz="4" w:space="0" w:color="auto"/>
            </w:tcBorders>
            <w:vAlign w:val="center"/>
          </w:tcPr>
          <w:p w14:paraId="44DA81DC" w14:textId="77777777" w:rsidR="00781FDA" w:rsidRDefault="00781FDA" w:rsidP="00F65C73">
            <w:pPr>
              <w:pStyle w:val="Sansinterligne"/>
            </w:pPr>
            <w:r>
              <w:t xml:space="preserve">4 – </w:t>
            </w:r>
            <w:r w:rsidRPr="003077B1">
              <w:t>Soutien par le biais d’instruments financiers : prêt ou équivalent</w:t>
            </w:r>
          </w:p>
        </w:tc>
        <w:tc>
          <w:tcPr>
            <w:tcW w:w="1565" w:type="dxa"/>
            <w:vAlign w:val="center"/>
          </w:tcPr>
          <w:p w14:paraId="0DB4BA01" w14:textId="77777777" w:rsidR="00781FDA" w:rsidRDefault="00781FDA" w:rsidP="00F65C73">
            <w:pPr>
              <w:pStyle w:val="Sansinterligne"/>
              <w:jc w:val="center"/>
            </w:pPr>
            <w:r>
              <w:rPr>
                <w:b/>
                <w:bCs/>
                <w:noProof/>
                <w:color w:val="002060"/>
              </w:rPr>
              <w:drawing>
                <wp:inline distT="0" distB="0" distL="0" distR="0" wp14:anchorId="41302FA1" wp14:editId="709FFE6A">
                  <wp:extent cx="230588" cy="230588"/>
                  <wp:effectExtent l="0" t="0" r="0" b="0"/>
                  <wp:docPr id="784945843" name="Graphique 78494584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781FDA" w14:paraId="6745A23F" w14:textId="77777777" w:rsidTr="00F65C73">
        <w:tc>
          <w:tcPr>
            <w:tcW w:w="9067" w:type="dxa"/>
            <w:tcBorders>
              <w:top w:val="single" w:sz="4" w:space="0" w:color="auto"/>
              <w:left w:val="single" w:sz="4" w:space="0" w:color="auto"/>
            </w:tcBorders>
            <w:vAlign w:val="center"/>
          </w:tcPr>
          <w:p w14:paraId="4D76C694" w14:textId="77777777" w:rsidR="00781FDA" w:rsidRDefault="00781FDA" w:rsidP="00F65C73">
            <w:pPr>
              <w:pStyle w:val="Sansinterligne"/>
            </w:pPr>
            <w:r>
              <w:t xml:space="preserve">5 – </w:t>
            </w:r>
            <w:r w:rsidRPr="003077B1">
              <w:t>Soutien par le biais d’instruments financiers : garantie ou équivalent</w:t>
            </w:r>
          </w:p>
        </w:tc>
        <w:tc>
          <w:tcPr>
            <w:tcW w:w="1565" w:type="dxa"/>
            <w:vAlign w:val="center"/>
          </w:tcPr>
          <w:p w14:paraId="60ACFBD2" w14:textId="77777777" w:rsidR="00781FDA" w:rsidRDefault="00781FDA" w:rsidP="00F65C73">
            <w:pPr>
              <w:pStyle w:val="Sansinterligne"/>
              <w:jc w:val="center"/>
            </w:pPr>
            <w:r>
              <w:rPr>
                <w:b/>
                <w:bCs/>
                <w:noProof/>
                <w:color w:val="002060"/>
              </w:rPr>
              <w:drawing>
                <wp:inline distT="0" distB="0" distL="0" distR="0" wp14:anchorId="44F01AEC" wp14:editId="4A45B7A9">
                  <wp:extent cx="230588" cy="230588"/>
                  <wp:effectExtent l="0" t="0" r="0" b="0"/>
                  <wp:docPr id="784945844" name="Graphique 78494584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781FDA" w14:paraId="536002F1" w14:textId="77777777" w:rsidTr="00F65C73">
        <w:tc>
          <w:tcPr>
            <w:tcW w:w="9067" w:type="dxa"/>
            <w:tcBorders>
              <w:top w:val="single" w:sz="4" w:space="0" w:color="auto"/>
              <w:left w:val="single" w:sz="4" w:space="0" w:color="auto"/>
            </w:tcBorders>
            <w:vAlign w:val="center"/>
          </w:tcPr>
          <w:p w14:paraId="756E277F" w14:textId="77777777" w:rsidR="00781FDA" w:rsidRDefault="00781FDA" w:rsidP="00F65C73">
            <w:pPr>
              <w:pStyle w:val="Sansinterligne"/>
            </w:pPr>
            <w:r>
              <w:t xml:space="preserve">6 – </w:t>
            </w:r>
            <w:r w:rsidRPr="003077B1">
              <w:t>Soutien par le biais d’instruments financiers : bonifications d’intérêt, contributions aux primes de garantie, soutien technique ou équivalent</w:t>
            </w:r>
          </w:p>
        </w:tc>
        <w:tc>
          <w:tcPr>
            <w:tcW w:w="1565" w:type="dxa"/>
            <w:vAlign w:val="center"/>
          </w:tcPr>
          <w:p w14:paraId="1DEE2076" w14:textId="77777777" w:rsidR="00781FDA" w:rsidRDefault="00781FDA" w:rsidP="00F65C73">
            <w:pPr>
              <w:pStyle w:val="Sansinterligne"/>
              <w:jc w:val="center"/>
            </w:pPr>
            <w:r>
              <w:rPr>
                <w:b/>
                <w:bCs/>
                <w:noProof/>
                <w:color w:val="002060"/>
              </w:rPr>
              <w:drawing>
                <wp:inline distT="0" distB="0" distL="0" distR="0" wp14:anchorId="6FA3A5C2" wp14:editId="741AFBBC">
                  <wp:extent cx="230588" cy="230588"/>
                  <wp:effectExtent l="0" t="0" r="0" b="0"/>
                  <wp:docPr id="784945845" name="Graphique 78494584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255DBA9C" w14:textId="77777777" w:rsidR="00781FDA" w:rsidRDefault="00781FDA" w:rsidP="00781FDA">
      <w:pPr>
        <w:pStyle w:val="Sansinterligne"/>
        <w:jc w:val="both"/>
      </w:pPr>
    </w:p>
    <w:p w14:paraId="17CCAB18" w14:textId="77777777" w:rsidR="00781FDA" w:rsidRPr="002C70D5" w:rsidRDefault="00781FDA" w:rsidP="00781FDA">
      <w:pPr>
        <w:pStyle w:val="Sansinterligne"/>
        <w:shd w:val="clear" w:color="auto" w:fill="D9D9D9" w:themeFill="background1" w:themeFillShade="D9"/>
        <w:jc w:val="both"/>
        <w:rPr>
          <w:b/>
          <w:bCs/>
          <w:sz w:val="28"/>
          <w:szCs w:val="28"/>
        </w:rPr>
      </w:pPr>
      <w:r w:rsidRPr="00FD0AB3">
        <w:rPr>
          <w:b/>
          <w:bCs/>
          <w:color w:val="FFFFFF" w:themeColor="background1"/>
          <w:sz w:val="28"/>
          <w:szCs w:val="28"/>
          <w:shd w:val="clear" w:color="auto" w:fill="A5A5A5" w:themeFill="accent3"/>
        </w:rPr>
        <w:t xml:space="preserve">ADMINISTRATION </w:t>
      </w:r>
      <w:r>
        <w:rPr>
          <w:b/>
          <w:bCs/>
          <w:sz w:val="28"/>
          <w:szCs w:val="28"/>
        </w:rPr>
        <w:t xml:space="preserve">  </w:t>
      </w:r>
      <w:r>
        <w:rPr>
          <w:b/>
          <w:bCs/>
          <w:color w:val="002060"/>
          <w:sz w:val="28"/>
          <w:szCs w:val="28"/>
        </w:rPr>
        <w:t>Partie réservée à l’administration</w:t>
      </w:r>
    </w:p>
    <w:p w14:paraId="21CC88F1" w14:textId="77777777" w:rsidR="00781FDA" w:rsidRDefault="00781FDA" w:rsidP="00781FDA">
      <w:pPr>
        <w:pStyle w:val="Sansinterligne"/>
        <w:jc w:val="both"/>
      </w:pPr>
    </w:p>
    <w:p w14:paraId="3EAE5B7E" w14:textId="77777777" w:rsidR="00781FDA" w:rsidRDefault="00781FDA" w:rsidP="00781FDA">
      <w:pPr>
        <w:pStyle w:val="Sansinterligne"/>
        <w:jc w:val="both"/>
      </w:pPr>
      <w:r w:rsidRPr="003077B1">
        <w:rPr>
          <w:b/>
          <w:bCs/>
          <w:color w:val="002060"/>
        </w:rPr>
        <w:t>Service instructeur :</w:t>
      </w:r>
      <w:r>
        <w:t xml:space="preserve"> service PO FEDER-FSE – Direction Europe et International – Conseil régional Centre-Val de Loire</w:t>
      </w:r>
    </w:p>
    <w:p w14:paraId="41F8D7BA" w14:textId="77777777" w:rsidR="00781FDA" w:rsidRDefault="00781FDA" w:rsidP="00781FDA">
      <w:pPr>
        <w:pStyle w:val="Sansinterligne"/>
        <w:jc w:val="both"/>
        <w:rPr>
          <w:b/>
          <w:bCs/>
          <w:color w:val="002060"/>
        </w:rPr>
      </w:pPr>
    </w:p>
    <w:p w14:paraId="0278C414" w14:textId="77777777" w:rsidR="00781FDA" w:rsidRDefault="00781FDA" w:rsidP="00781FDA">
      <w:pPr>
        <w:pStyle w:val="Sansinterligne"/>
        <w:jc w:val="both"/>
        <w:rPr>
          <w:b/>
          <w:bCs/>
        </w:rPr>
      </w:pPr>
      <w:r w:rsidRPr="003077B1">
        <w:rPr>
          <w:b/>
          <w:bCs/>
          <w:color w:val="002060"/>
        </w:rPr>
        <w:t>Services et organismes consultés pour avis :</w:t>
      </w:r>
      <w:r w:rsidRPr="003077B1">
        <w:rPr>
          <w:b/>
          <w:bCs/>
        </w:rPr>
        <w:t xml:space="preserve"> </w:t>
      </w:r>
    </w:p>
    <w:p w14:paraId="6E06EE02" w14:textId="77777777" w:rsidR="00781FDA" w:rsidRPr="004B7734" w:rsidRDefault="00781FDA" w:rsidP="00781FDA">
      <w:pPr>
        <w:pStyle w:val="Sansinterligne"/>
        <w:numPr>
          <w:ilvl w:val="0"/>
          <w:numId w:val="1"/>
        </w:numPr>
        <w:jc w:val="both"/>
        <w:rPr>
          <w:b/>
          <w:bCs/>
        </w:rPr>
      </w:pPr>
      <w:r w:rsidRPr="004B7734">
        <w:t>Direction d</w:t>
      </w:r>
      <w:r w:rsidRPr="004B7734">
        <w:rPr>
          <w:rStyle w:val="profil-department"/>
        </w:rPr>
        <w:t>e l'Appui à la Donnée, Au Pilotage et aux Transitions (ADAPT) – Conseil régional- Centre-Val de Loire</w:t>
      </w:r>
    </w:p>
    <w:p w14:paraId="1AE5AC28" w14:textId="77777777" w:rsidR="00781FDA" w:rsidRDefault="00781FDA" w:rsidP="00781FDA">
      <w:pPr>
        <w:pStyle w:val="Sansinterligne"/>
        <w:numPr>
          <w:ilvl w:val="0"/>
          <w:numId w:val="1"/>
        </w:numPr>
        <w:jc w:val="both"/>
      </w:pPr>
      <w:r>
        <w:t>Direction de l’Enseignement Supérieur, de la Recherche et du Transfert de Technologies (DESRTT) – Conseil régional Centre-Val de Loire</w:t>
      </w:r>
    </w:p>
    <w:p w14:paraId="780A3473" w14:textId="77777777" w:rsidR="00781FDA" w:rsidRDefault="00781FDA" w:rsidP="00781FDA">
      <w:pPr>
        <w:pStyle w:val="Sansinterligne"/>
        <w:numPr>
          <w:ilvl w:val="0"/>
          <w:numId w:val="1"/>
        </w:numPr>
        <w:jc w:val="both"/>
      </w:pPr>
      <w:r>
        <w:t>Direction de l’Economie (DE) – Conseil régional Centre-Val de Loire</w:t>
      </w:r>
    </w:p>
    <w:p w14:paraId="3A8B0947" w14:textId="77777777" w:rsidR="00781FDA" w:rsidRDefault="00781FDA" w:rsidP="00781FDA">
      <w:pPr>
        <w:pStyle w:val="Sansinterligne"/>
        <w:numPr>
          <w:ilvl w:val="0"/>
          <w:numId w:val="1"/>
        </w:numPr>
        <w:jc w:val="both"/>
      </w:pPr>
      <w:r>
        <w:t>Délégation Régionale Académique à la Recherche et à l’Innovation (DRARI) – Etat</w:t>
      </w:r>
    </w:p>
    <w:p w14:paraId="02EFB90C" w14:textId="77777777" w:rsidR="00781FDA" w:rsidRPr="00185387" w:rsidRDefault="00781FDA" w:rsidP="00781FDA">
      <w:pPr>
        <w:pStyle w:val="Sansinterligne"/>
        <w:numPr>
          <w:ilvl w:val="0"/>
          <w:numId w:val="1"/>
        </w:numPr>
        <w:jc w:val="both"/>
      </w:pPr>
      <w:r>
        <w:t>Direction Régionale de l’Economie, de l’Emploi, du Travail et des Solidarités (DREETS) - Etat</w:t>
      </w:r>
    </w:p>
    <w:p w14:paraId="419AA314" w14:textId="77777777" w:rsidR="00781FDA" w:rsidRDefault="00781FDA" w:rsidP="00781FDA">
      <w:pPr>
        <w:pStyle w:val="Sansinterligne"/>
        <w:jc w:val="both"/>
      </w:pPr>
    </w:p>
    <w:p w14:paraId="646F0611" w14:textId="77777777" w:rsidR="00781FDA" w:rsidRDefault="00781FDA" w:rsidP="00781FDA">
      <w:pPr>
        <w:pStyle w:val="Sansinterligne"/>
        <w:jc w:val="both"/>
      </w:pPr>
      <w:r w:rsidRPr="00674BBC">
        <w:rPr>
          <w:b/>
          <w:bCs/>
          <w:color w:val="002060"/>
        </w:rPr>
        <w:t>Organismes à consulter pour information :</w:t>
      </w:r>
      <w:r w:rsidRPr="00674BBC">
        <w:rPr>
          <w:color w:val="002060"/>
        </w:rPr>
        <w:t xml:space="preserve"> </w:t>
      </w:r>
      <w:r>
        <w:t>sans objet</w:t>
      </w:r>
    </w:p>
    <w:p w14:paraId="124895D1" w14:textId="77777777" w:rsidR="00781FDA" w:rsidRDefault="00781FDA" w:rsidP="00781FDA">
      <w:pPr>
        <w:pStyle w:val="Sansinterligne"/>
        <w:jc w:val="both"/>
      </w:pPr>
    </w:p>
    <w:p w14:paraId="05A82C06" w14:textId="77777777" w:rsidR="00781FDA" w:rsidRPr="00213477" w:rsidRDefault="00781FDA" w:rsidP="00EB7519">
      <w:pPr>
        <w:pStyle w:val="Sansinterligne"/>
        <w:shd w:val="clear" w:color="auto" w:fill="D9D9D9" w:themeFill="background1" w:themeFillShade="D9"/>
        <w:jc w:val="both"/>
      </w:pPr>
      <w:r w:rsidRPr="00FD0AB3">
        <w:rPr>
          <w:b/>
          <w:bCs/>
          <w:color w:val="FFFFFF" w:themeColor="background1"/>
          <w:sz w:val="28"/>
          <w:szCs w:val="28"/>
          <w:shd w:val="clear" w:color="auto" w:fill="A5A5A5" w:themeFill="accent3"/>
        </w:rPr>
        <w:t xml:space="preserve">ADMINISTRATION </w:t>
      </w:r>
      <w:r>
        <w:rPr>
          <w:b/>
          <w:bCs/>
          <w:sz w:val="28"/>
          <w:szCs w:val="28"/>
        </w:rPr>
        <w:t xml:space="preserve">  </w:t>
      </w:r>
      <w:r>
        <w:rPr>
          <w:b/>
          <w:bCs/>
          <w:color w:val="002060"/>
          <w:sz w:val="28"/>
          <w:szCs w:val="28"/>
        </w:rPr>
        <w:t>Catégories d’intervention</w:t>
      </w:r>
    </w:p>
    <w:p w14:paraId="1FADA565" w14:textId="77777777" w:rsidR="00781FDA" w:rsidRDefault="00781FDA" w:rsidP="00781FDA">
      <w:pPr>
        <w:pStyle w:val="Sansinterligne"/>
        <w:jc w:val="both"/>
      </w:pPr>
    </w:p>
    <w:tbl>
      <w:tblPr>
        <w:tblStyle w:val="Grilledutableau"/>
        <w:tblW w:w="10627" w:type="dxa"/>
        <w:tblLook w:val="04A0" w:firstRow="1" w:lastRow="0" w:firstColumn="1" w:lastColumn="0" w:noHBand="0" w:noVBand="1"/>
      </w:tblPr>
      <w:tblGrid>
        <w:gridCol w:w="3256"/>
        <w:gridCol w:w="7371"/>
      </w:tblGrid>
      <w:tr w:rsidR="00781FDA" w14:paraId="7F8E3275" w14:textId="77777777" w:rsidTr="00F65C73">
        <w:tc>
          <w:tcPr>
            <w:tcW w:w="3256" w:type="dxa"/>
            <w:vAlign w:val="center"/>
          </w:tcPr>
          <w:p w14:paraId="63AEC48B" w14:textId="77777777" w:rsidR="00781FDA" w:rsidRPr="00D6168A" w:rsidRDefault="00781FDA" w:rsidP="00F65C73">
            <w:pPr>
              <w:pStyle w:val="Sansinterligne"/>
              <w:rPr>
                <w:b/>
                <w:bCs/>
                <w:color w:val="002060"/>
                <w:sz w:val="20"/>
                <w:szCs w:val="20"/>
              </w:rPr>
            </w:pPr>
            <w:r w:rsidRPr="00D6168A">
              <w:rPr>
                <w:b/>
                <w:bCs/>
                <w:color w:val="002060"/>
                <w:sz w:val="20"/>
                <w:szCs w:val="20"/>
              </w:rPr>
              <w:t>Domaine d’intervention</w:t>
            </w:r>
          </w:p>
        </w:tc>
        <w:tc>
          <w:tcPr>
            <w:tcW w:w="7371" w:type="dxa"/>
            <w:vAlign w:val="center"/>
          </w:tcPr>
          <w:p w14:paraId="42B6F2D2" w14:textId="77777777" w:rsidR="00781FDA" w:rsidRPr="00FD0AB3" w:rsidRDefault="00781FDA" w:rsidP="00F65C73">
            <w:pPr>
              <w:pStyle w:val="Sansinterligne"/>
              <w:rPr>
                <w:sz w:val="20"/>
                <w:szCs w:val="20"/>
              </w:rPr>
            </w:pPr>
            <w:r>
              <w:rPr>
                <w:sz w:val="20"/>
                <w:szCs w:val="20"/>
              </w:rPr>
              <w:t xml:space="preserve">036 </w:t>
            </w:r>
            <w:r w:rsidRPr="00430459">
              <w:rPr>
                <w:sz w:val="20"/>
                <w:szCs w:val="20"/>
              </w:rPr>
              <w:t>TIC: autres types d'infrastructures TIC (y compris les ressources/équipements informatiques à grande échelle, les centres de données, les capteurs et autres équipements sans fil)</w:t>
            </w:r>
          </w:p>
        </w:tc>
      </w:tr>
      <w:tr w:rsidR="00781FDA" w14:paraId="64AFA5F5" w14:textId="77777777" w:rsidTr="00F65C73">
        <w:tc>
          <w:tcPr>
            <w:tcW w:w="3256" w:type="dxa"/>
            <w:vAlign w:val="center"/>
          </w:tcPr>
          <w:p w14:paraId="0D32C059" w14:textId="77777777" w:rsidR="00781FDA" w:rsidRPr="00D6168A" w:rsidRDefault="00781FDA" w:rsidP="00F65C73">
            <w:pPr>
              <w:pStyle w:val="Sansinterligne"/>
              <w:rPr>
                <w:b/>
                <w:bCs/>
                <w:color w:val="002060"/>
                <w:sz w:val="20"/>
                <w:szCs w:val="20"/>
              </w:rPr>
            </w:pPr>
            <w:r w:rsidRPr="00D6168A">
              <w:rPr>
                <w:b/>
                <w:bCs/>
                <w:color w:val="002060"/>
                <w:sz w:val="20"/>
                <w:szCs w:val="20"/>
              </w:rPr>
              <w:t>Forme de financement</w:t>
            </w:r>
          </w:p>
        </w:tc>
        <w:tc>
          <w:tcPr>
            <w:tcW w:w="7371" w:type="dxa"/>
            <w:vAlign w:val="center"/>
          </w:tcPr>
          <w:p w14:paraId="6F09C3F6" w14:textId="77777777" w:rsidR="00781FDA" w:rsidRPr="00FD0AB3" w:rsidRDefault="00781FDA" w:rsidP="00F65C73">
            <w:pPr>
              <w:pStyle w:val="Sansinterligne"/>
              <w:rPr>
                <w:sz w:val="20"/>
                <w:szCs w:val="20"/>
              </w:rPr>
            </w:pPr>
            <w:r w:rsidRPr="00FD0AB3">
              <w:rPr>
                <w:sz w:val="20"/>
                <w:szCs w:val="20"/>
              </w:rPr>
              <w:t>01 Subvention</w:t>
            </w:r>
          </w:p>
        </w:tc>
      </w:tr>
      <w:tr w:rsidR="00781FDA" w14:paraId="3BE2BAEA" w14:textId="77777777" w:rsidTr="00F65C73">
        <w:tc>
          <w:tcPr>
            <w:tcW w:w="3256" w:type="dxa"/>
            <w:vAlign w:val="center"/>
          </w:tcPr>
          <w:p w14:paraId="417E8FEE" w14:textId="77777777" w:rsidR="00781FDA" w:rsidRPr="00D6168A" w:rsidRDefault="00781FDA" w:rsidP="00F65C73">
            <w:pPr>
              <w:pStyle w:val="Sansinterligne"/>
              <w:rPr>
                <w:b/>
                <w:bCs/>
                <w:color w:val="002060"/>
                <w:sz w:val="20"/>
                <w:szCs w:val="20"/>
              </w:rPr>
            </w:pPr>
            <w:r w:rsidRPr="00D6168A">
              <w:rPr>
                <w:b/>
                <w:bCs/>
                <w:color w:val="002060"/>
                <w:sz w:val="20"/>
                <w:szCs w:val="20"/>
              </w:rPr>
              <w:t>Mécanisme d’application territorial et approche territoriale</w:t>
            </w:r>
          </w:p>
        </w:tc>
        <w:tc>
          <w:tcPr>
            <w:tcW w:w="7371" w:type="dxa"/>
            <w:vAlign w:val="center"/>
          </w:tcPr>
          <w:p w14:paraId="2F6474D4" w14:textId="77777777" w:rsidR="00781FDA" w:rsidRPr="00FD0AB3" w:rsidRDefault="00781FDA" w:rsidP="00F65C73">
            <w:pPr>
              <w:pStyle w:val="Sansinterligne"/>
              <w:rPr>
                <w:sz w:val="20"/>
                <w:szCs w:val="20"/>
              </w:rPr>
            </w:pPr>
            <w:r w:rsidRPr="00D6168A">
              <w:rPr>
                <w:sz w:val="20"/>
                <w:szCs w:val="20"/>
              </w:rPr>
              <w:t xml:space="preserve">33 Autres approches </w:t>
            </w:r>
            <w:r>
              <w:rPr>
                <w:sz w:val="20"/>
                <w:szCs w:val="20"/>
              </w:rPr>
              <w:t>-</w:t>
            </w:r>
            <w:r w:rsidRPr="00D6168A">
              <w:rPr>
                <w:sz w:val="20"/>
                <w:szCs w:val="20"/>
              </w:rPr>
              <w:t xml:space="preserve"> Pas de ciblage géographique</w:t>
            </w:r>
          </w:p>
        </w:tc>
      </w:tr>
      <w:tr w:rsidR="00781FDA" w14:paraId="2ABDEC63" w14:textId="77777777" w:rsidTr="00F65C73">
        <w:tc>
          <w:tcPr>
            <w:tcW w:w="3256" w:type="dxa"/>
            <w:vAlign w:val="center"/>
          </w:tcPr>
          <w:p w14:paraId="04296AF1" w14:textId="77777777" w:rsidR="00781FDA" w:rsidRPr="00D6168A" w:rsidRDefault="00781FDA" w:rsidP="00F65C73">
            <w:pPr>
              <w:pStyle w:val="Sansinterligne"/>
              <w:rPr>
                <w:b/>
                <w:bCs/>
                <w:color w:val="002060"/>
                <w:sz w:val="20"/>
                <w:szCs w:val="20"/>
              </w:rPr>
            </w:pPr>
            <w:r>
              <w:rPr>
                <w:b/>
                <w:bCs/>
                <w:color w:val="002060"/>
                <w:sz w:val="20"/>
                <w:szCs w:val="20"/>
              </w:rPr>
              <w:t>Egalité entre les hommes et les femmes</w:t>
            </w:r>
          </w:p>
        </w:tc>
        <w:tc>
          <w:tcPr>
            <w:tcW w:w="7371" w:type="dxa"/>
            <w:vAlign w:val="center"/>
          </w:tcPr>
          <w:p w14:paraId="43F8616A" w14:textId="77777777" w:rsidR="00781FDA" w:rsidRPr="00D6168A" w:rsidRDefault="00781FDA" w:rsidP="00F65C73">
            <w:pPr>
              <w:pStyle w:val="Sansinterligne"/>
              <w:rPr>
                <w:sz w:val="20"/>
                <w:szCs w:val="20"/>
              </w:rPr>
            </w:pPr>
            <w:r>
              <w:rPr>
                <w:sz w:val="20"/>
                <w:szCs w:val="20"/>
              </w:rPr>
              <w:t>03 Neutralité du point de vue de l’égalité entre les hommes et les femmes</w:t>
            </w:r>
          </w:p>
        </w:tc>
      </w:tr>
    </w:tbl>
    <w:p w14:paraId="53225360" w14:textId="77777777" w:rsidR="00781FDA" w:rsidRDefault="00781FDA" w:rsidP="00781FDA">
      <w:pPr>
        <w:pStyle w:val="Sansinterligne"/>
        <w:jc w:val="both"/>
      </w:pPr>
    </w:p>
    <w:p w14:paraId="66E579AA" w14:textId="77777777" w:rsidR="00781FDA" w:rsidRPr="002C70D5" w:rsidRDefault="00781FDA" w:rsidP="00781FDA">
      <w:pPr>
        <w:pStyle w:val="Sansinterligne"/>
        <w:shd w:val="clear" w:color="auto" w:fill="B7ECFF"/>
        <w:jc w:val="both"/>
        <w:rPr>
          <w:b/>
          <w:bCs/>
          <w:sz w:val="28"/>
          <w:szCs w:val="28"/>
        </w:rPr>
      </w:pPr>
      <w:r w:rsidRPr="00D6168A">
        <w:rPr>
          <w:b/>
          <w:bCs/>
          <w:color w:val="FFFFFF" w:themeColor="background1"/>
          <w:sz w:val="28"/>
          <w:szCs w:val="28"/>
          <w:shd w:val="clear" w:color="auto" w:fill="00B0F0"/>
        </w:rPr>
        <w:t xml:space="preserve">CONTACT </w:t>
      </w:r>
      <w:r>
        <w:rPr>
          <w:b/>
          <w:bCs/>
          <w:sz w:val="28"/>
          <w:szCs w:val="28"/>
        </w:rPr>
        <w:t xml:space="preserve">  </w:t>
      </w:r>
      <w:r>
        <w:rPr>
          <w:b/>
          <w:bCs/>
          <w:color w:val="002060"/>
          <w:sz w:val="28"/>
          <w:szCs w:val="28"/>
        </w:rPr>
        <w:t>Service(s) en charge de l’instruction des dossiers</w:t>
      </w:r>
    </w:p>
    <w:p w14:paraId="0C796F43" w14:textId="77777777" w:rsidR="00781FDA" w:rsidRDefault="00781FDA" w:rsidP="00781FDA">
      <w:pPr>
        <w:pStyle w:val="Sansinterligne"/>
        <w:jc w:val="both"/>
      </w:pPr>
    </w:p>
    <w:p w14:paraId="29AE2486" w14:textId="77777777" w:rsidR="00781FDA" w:rsidRDefault="00781FDA" w:rsidP="00781FDA">
      <w:pPr>
        <w:pStyle w:val="Sansinterligne"/>
        <w:jc w:val="both"/>
      </w:pPr>
      <w:r w:rsidRPr="00D6168A">
        <w:rPr>
          <w:b/>
          <w:bCs/>
          <w:color w:val="002060"/>
        </w:rPr>
        <w:t>Contact :</w:t>
      </w:r>
      <w:r>
        <w:t xml:space="preserve"> Conseil régional Centre-Val de Loire, Direction Europe et International, </w:t>
      </w:r>
      <w:r w:rsidRPr="00B0477C">
        <w:t>Service Programmation des Fonds européens FEDER FSE+</w:t>
      </w:r>
    </w:p>
    <w:p w14:paraId="18BBF196" w14:textId="77777777" w:rsidR="00781FDA" w:rsidRDefault="00781FDA" w:rsidP="00781FDA">
      <w:pPr>
        <w:pStyle w:val="Sansinterligne"/>
        <w:jc w:val="both"/>
      </w:pPr>
      <w:r>
        <w:rPr>
          <w:noProof/>
        </w:rPr>
        <w:drawing>
          <wp:inline distT="0" distB="0" distL="0" distR="0" wp14:anchorId="4A3849AA" wp14:editId="6C6EEE06">
            <wp:extent cx="204826" cy="204826"/>
            <wp:effectExtent l="0" t="0" r="5080" b="5080"/>
            <wp:docPr id="784945672" name="Graphique 784945672"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4826" cy="204826"/>
                    </a:xfrm>
                    <a:prstGeom prst="rect">
                      <a:avLst/>
                    </a:prstGeom>
                  </pic:spPr>
                </pic:pic>
              </a:graphicData>
            </a:graphic>
          </wp:inline>
        </w:drawing>
      </w:r>
      <w:r>
        <w:t xml:space="preserve"> : </w:t>
      </w:r>
      <w:hyperlink r:id="rId14" w:history="1">
        <w:r w:rsidRPr="00E4771E">
          <w:rPr>
            <w:rStyle w:val="Lienhypertexte"/>
          </w:rPr>
          <w:t>ext-europe@centrevaldeloire.fr</w:t>
        </w:r>
      </w:hyperlink>
    </w:p>
    <w:p w14:paraId="70B06464" w14:textId="77777777" w:rsidR="00C93968" w:rsidRDefault="00C93968" w:rsidP="00C93968">
      <w:pPr>
        <w:pStyle w:val="Sansinterligne"/>
        <w:jc w:val="both"/>
      </w:pPr>
    </w:p>
    <w:p w14:paraId="3A08539A" w14:textId="77777777" w:rsidR="00C93968" w:rsidRPr="009325D3" w:rsidRDefault="00C93968" w:rsidP="00C93968">
      <w:pPr>
        <w:pStyle w:val="Sansinterligne"/>
        <w:jc w:val="both"/>
        <w:rPr>
          <w:rFonts w:ascii="Calibri" w:hAnsi="Calibri" w:cs="Calibri"/>
        </w:rPr>
      </w:pPr>
    </w:p>
    <w:p w14:paraId="3BC70E68" w14:textId="77777777" w:rsidR="00AE38D5" w:rsidRDefault="00AE38D5" w:rsidP="00C93968">
      <w:pPr>
        <w:rPr>
          <w:rFonts w:ascii="Calibri" w:hAnsi="Calibri" w:cs="Calibri"/>
        </w:rPr>
      </w:pPr>
    </w:p>
    <w:sectPr w:rsidR="00AE38D5"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984"/>
    <w:multiLevelType w:val="hybridMultilevel"/>
    <w:tmpl w:val="F03AA54A"/>
    <w:lvl w:ilvl="0" w:tplc="C3ECB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94368"/>
    <w:multiLevelType w:val="hybridMultilevel"/>
    <w:tmpl w:val="6F987CF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73CCA"/>
    <w:multiLevelType w:val="hybridMultilevel"/>
    <w:tmpl w:val="A03A7D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50BAE"/>
    <w:multiLevelType w:val="hybridMultilevel"/>
    <w:tmpl w:val="821AC78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42694E"/>
    <w:multiLevelType w:val="hybridMultilevel"/>
    <w:tmpl w:val="660C5D60"/>
    <w:lvl w:ilvl="0" w:tplc="7EF26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F2389C"/>
    <w:multiLevelType w:val="hybridMultilevel"/>
    <w:tmpl w:val="EC6EE32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602F43"/>
    <w:multiLevelType w:val="hybridMultilevel"/>
    <w:tmpl w:val="CAF6C69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036D7E"/>
    <w:multiLevelType w:val="hybridMultilevel"/>
    <w:tmpl w:val="AF62B8D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963DAD"/>
    <w:multiLevelType w:val="hybridMultilevel"/>
    <w:tmpl w:val="BD24C21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95"/>
    <w:multiLevelType w:val="hybridMultilevel"/>
    <w:tmpl w:val="904423D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2D6D10"/>
    <w:multiLevelType w:val="hybridMultilevel"/>
    <w:tmpl w:val="01AC71FA"/>
    <w:lvl w:ilvl="0" w:tplc="506CC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1226514">
    <w:abstractNumId w:val="8"/>
  </w:num>
  <w:num w:numId="2" w16cid:durableId="1447845969">
    <w:abstractNumId w:val="4"/>
  </w:num>
  <w:num w:numId="3" w16cid:durableId="813908328">
    <w:abstractNumId w:val="0"/>
  </w:num>
  <w:num w:numId="4" w16cid:durableId="1767649396">
    <w:abstractNumId w:val="11"/>
  </w:num>
  <w:num w:numId="5" w16cid:durableId="198009043">
    <w:abstractNumId w:val="10"/>
  </w:num>
  <w:num w:numId="6" w16cid:durableId="1351182591">
    <w:abstractNumId w:val="2"/>
  </w:num>
  <w:num w:numId="7" w16cid:durableId="624435505">
    <w:abstractNumId w:val="3"/>
  </w:num>
  <w:num w:numId="8" w16cid:durableId="773091100">
    <w:abstractNumId w:val="1"/>
  </w:num>
  <w:num w:numId="9" w16cid:durableId="1200254">
    <w:abstractNumId w:val="7"/>
  </w:num>
  <w:num w:numId="10" w16cid:durableId="1187326335">
    <w:abstractNumId w:val="6"/>
  </w:num>
  <w:num w:numId="11" w16cid:durableId="433675895">
    <w:abstractNumId w:val="9"/>
  </w:num>
  <w:num w:numId="12" w16cid:durableId="1470902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2C6E21"/>
    <w:rsid w:val="005F410E"/>
    <w:rsid w:val="00781FDA"/>
    <w:rsid w:val="007B1A1C"/>
    <w:rsid w:val="007F4EF4"/>
    <w:rsid w:val="008A1670"/>
    <w:rsid w:val="009E1939"/>
    <w:rsid w:val="00AE38D5"/>
    <w:rsid w:val="00B87CF4"/>
    <w:rsid w:val="00C16113"/>
    <w:rsid w:val="00C93968"/>
    <w:rsid w:val="00D349E1"/>
    <w:rsid w:val="00EB7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character" w:customStyle="1" w:styleId="profil-department">
    <w:name w:val="profil-department"/>
    <w:basedOn w:val="Policepardfaut"/>
    <w:rsid w:val="0078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mailto:ext-europe@centrevald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1" ma:contentTypeDescription="Crée un document." ma:contentTypeScope="" ma:versionID="80e1fa0a36711d046a75f7be95b9a315">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0c0a25a4c85d5f4bded254b7e0bba312"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5B508-F879-4D9F-B459-D2F627335230}">
  <ds:schemaRefs>
    <ds:schemaRef ds:uri="http://schemas.microsoft.com/sharepoint/v3/contenttype/forms"/>
  </ds:schemaRefs>
</ds:datastoreItem>
</file>

<file path=customXml/itemProps2.xml><?xml version="1.0" encoding="utf-8"?>
<ds:datastoreItem xmlns:ds="http://schemas.openxmlformats.org/officeDocument/2006/customXml" ds:itemID="{0346283B-BD1E-4CEA-AA16-29BBD806D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E1C51A-D27B-419E-8105-9AFF2D6DF4C1}"/>
</file>

<file path=docProps/app.xml><?xml version="1.0" encoding="utf-8"?>
<Properties xmlns="http://schemas.openxmlformats.org/officeDocument/2006/extended-properties" xmlns:vt="http://schemas.openxmlformats.org/officeDocument/2006/docPropsVTypes">
  <Template>Normal</Template>
  <TotalTime>5</TotalTime>
  <Pages>5</Pages>
  <Words>1860</Words>
  <Characters>10236</Characters>
  <Application>Microsoft Office Word</Application>
  <DocSecurity>0</DocSecurity>
  <Lines>85</Lines>
  <Paragraphs>24</Paragraphs>
  <ScaleCrop>false</ScaleCrop>
  <Company>CRCVDL</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8</cp:revision>
  <dcterms:created xsi:type="dcterms:W3CDTF">2022-11-30T10:18:00Z</dcterms:created>
  <dcterms:modified xsi:type="dcterms:W3CDTF">2024-02-15T09:25:00Z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