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425D5B39" w:rsidR="000E1C19" w:rsidRPr="006C22DB" w:rsidRDefault="000E1C19" w:rsidP="000E1C19">
                            <w:pPr>
                              <w:pStyle w:val="Sansinterligne"/>
                              <w:jc w:val="center"/>
                              <w:rPr>
                                <w:b/>
                                <w:bCs/>
                              </w:rPr>
                            </w:pPr>
                            <w:r w:rsidRPr="006C22DB">
                              <w:rPr>
                                <w:b/>
                                <w:bCs/>
                              </w:rPr>
                              <w:t>1.</w:t>
                            </w:r>
                            <w:r w:rsidR="00AE38D5">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425D5B39" w:rsidR="000E1C19" w:rsidRPr="006C22DB" w:rsidRDefault="000E1C19" w:rsidP="000E1C19">
                      <w:pPr>
                        <w:pStyle w:val="Sansinterligne"/>
                        <w:jc w:val="center"/>
                        <w:rPr>
                          <w:b/>
                          <w:bCs/>
                        </w:rPr>
                      </w:pPr>
                      <w:r w:rsidRPr="006C22DB">
                        <w:rPr>
                          <w:b/>
                          <w:bCs/>
                        </w:rPr>
                        <w:t>1.</w:t>
                      </w:r>
                      <w:r w:rsidR="00AE38D5">
                        <w:rPr>
                          <w:b/>
                          <w:bCs/>
                        </w:rPr>
                        <w:t>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7777777" w:rsidR="000E1C19" w:rsidRPr="006C22DB" w:rsidRDefault="000E1C19" w:rsidP="000E1C19">
                      <w:pPr>
                        <w:pStyle w:val="Sansinterligne"/>
                        <w:jc w:val="center"/>
                        <w:rPr>
                          <w:b/>
                          <w:bCs/>
                        </w:rPr>
                      </w:pPr>
                      <w:r w:rsidRPr="006C22DB">
                        <w:rPr>
                          <w:b/>
                          <w:bCs/>
                        </w:rPr>
                        <w:t>1</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77777777" w:rsidR="000E1C19" w:rsidRPr="006C22DB" w:rsidRDefault="000E1C19" w:rsidP="000E1C19">
                      <w:pPr>
                        <w:pStyle w:val="Sansinterligne"/>
                        <w:jc w:val="center"/>
                        <w:rPr>
                          <w:b/>
                          <w:bCs/>
                        </w:rPr>
                      </w:pPr>
                      <w:r w:rsidRPr="006C22DB">
                        <w:rPr>
                          <w:b/>
                          <w:bCs/>
                        </w:rPr>
                        <w:t>1</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655E0CEF" w14:textId="41323A54" w:rsidR="000E1C19" w:rsidRDefault="000E1C19" w:rsidP="000E1C19">
      <w:pPr>
        <w:rPr>
          <w:rFonts w:ascii="Calibri" w:hAnsi="Calibri" w:cs="Calibri"/>
        </w:rPr>
      </w:pPr>
    </w:p>
    <w:p w14:paraId="1B4848C7" w14:textId="77777777" w:rsidR="001447F3" w:rsidRDefault="001447F3" w:rsidP="000E1C19">
      <w:pPr>
        <w:rPr>
          <w:rFonts w:ascii="Calibri" w:hAnsi="Calibri" w:cs="Calibri"/>
        </w:rPr>
      </w:pPr>
    </w:p>
    <w:p w14:paraId="128C9DFD" w14:textId="77777777" w:rsidR="001447F3" w:rsidRPr="009325D3" w:rsidRDefault="001447F3" w:rsidP="001447F3">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2"/>
        <w:gridCol w:w="2612"/>
        <w:gridCol w:w="2613"/>
        <w:gridCol w:w="2638"/>
      </w:tblGrid>
      <w:tr w:rsidR="001447F3" w:rsidRPr="009325D3" w14:paraId="70DF56A9"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3795BB97" w14:textId="77777777" w:rsidR="001447F3" w:rsidRPr="009325D3" w:rsidRDefault="001447F3" w:rsidP="000B288C">
            <w:pPr>
              <w:pStyle w:val="Titre"/>
              <w:outlineLvl w:val="2"/>
              <w:rPr>
                <w:rFonts w:cs="Calibri"/>
              </w:rPr>
            </w:pPr>
            <w:bookmarkStart w:id="0" w:name="_Toc116053851"/>
            <w:r w:rsidRPr="009325D3">
              <w:rPr>
                <w:rFonts w:cs="Calibri"/>
              </w:rPr>
              <w:t>Action n°6</w:t>
            </w:r>
            <w:bookmarkEnd w:id="0"/>
          </w:p>
          <w:p w14:paraId="064A710B" w14:textId="77777777" w:rsidR="001447F3" w:rsidRPr="009325D3" w:rsidRDefault="001447F3" w:rsidP="000B288C">
            <w:pPr>
              <w:pStyle w:val="Titre"/>
              <w:outlineLvl w:val="2"/>
              <w:rPr>
                <w:rFonts w:cs="Calibri"/>
              </w:rPr>
            </w:pPr>
            <w:bookmarkStart w:id="1" w:name="_Toc116053852"/>
            <w:r w:rsidRPr="009325D3">
              <w:rPr>
                <w:rFonts w:cs="Calibri"/>
              </w:rPr>
              <w:t>Médiation numérique pour toutes et tous (citoyens, TPE-PME, associations, collectivités)</w:t>
            </w:r>
            <w:bookmarkEnd w:id="1"/>
          </w:p>
        </w:tc>
      </w:tr>
      <w:tr w:rsidR="001447F3" w:rsidRPr="009325D3" w14:paraId="21AFDA0C" w14:textId="77777777" w:rsidTr="000B288C">
        <w:tc>
          <w:tcPr>
            <w:tcW w:w="2612" w:type="dxa"/>
            <w:tcBorders>
              <w:top w:val="single" w:sz="2" w:space="0" w:color="002060"/>
              <w:left w:val="single" w:sz="12" w:space="0" w:color="002060"/>
              <w:bottom w:val="single" w:sz="12" w:space="0" w:color="002060"/>
              <w:right w:val="single" w:sz="2" w:space="0" w:color="002060"/>
            </w:tcBorders>
            <w:vAlign w:val="center"/>
          </w:tcPr>
          <w:p w14:paraId="430C7CEB" w14:textId="77777777" w:rsidR="001447F3" w:rsidRPr="009325D3" w:rsidRDefault="001447F3"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2" w:type="dxa"/>
            <w:tcBorders>
              <w:top w:val="single" w:sz="12" w:space="0" w:color="002060"/>
              <w:left w:val="single" w:sz="2" w:space="0" w:color="002060"/>
              <w:bottom w:val="single" w:sz="12" w:space="0" w:color="002060"/>
              <w:right w:val="single" w:sz="12" w:space="0" w:color="002060"/>
            </w:tcBorders>
            <w:vAlign w:val="center"/>
          </w:tcPr>
          <w:p w14:paraId="51211006" w14:textId="77777777" w:rsidR="001447F3" w:rsidRPr="009325D3" w:rsidRDefault="001447F3" w:rsidP="000B288C">
            <w:pPr>
              <w:pStyle w:val="Sansinterligne"/>
              <w:jc w:val="center"/>
              <w:rPr>
                <w:rFonts w:ascii="Calibri" w:hAnsi="Calibri" w:cs="Calibri"/>
                <w:sz w:val="20"/>
                <w:szCs w:val="20"/>
              </w:rPr>
            </w:pPr>
            <w:r>
              <w:rPr>
                <w:rFonts w:ascii="Calibri" w:hAnsi="Calibri" w:cs="Calibri"/>
                <w:sz w:val="20"/>
                <w:szCs w:val="20"/>
              </w:rPr>
              <w:t>14</w:t>
            </w:r>
            <w:r w:rsidRPr="00502C0B">
              <w:rPr>
                <w:rFonts w:ascii="Calibri" w:hAnsi="Calibri" w:cs="Calibri"/>
                <w:sz w:val="20"/>
                <w:szCs w:val="20"/>
              </w:rPr>
              <w:t>/</w:t>
            </w:r>
            <w:r>
              <w:rPr>
                <w:rFonts w:ascii="Calibri" w:hAnsi="Calibri" w:cs="Calibri"/>
                <w:sz w:val="20"/>
                <w:szCs w:val="20"/>
              </w:rPr>
              <w:t>09</w:t>
            </w:r>
            <w:r w:rsidRPr="00502C0B">
              <w:rPr>
                <w:rFonts w:ascii="Calibri" w:hAnsi="Calibri" w:cs="Calibri"/>
                <w:sz w:val="20"/>
                <w:szCs w:val="20"/>
              </w:rPr>
              <w:t>/202</w:t>
            </w:r>
            <w:r>
              <w:rPr>
                <w:rFonts w:ascii="Calibri" w:hAnsi="Calibri" w:cs="Calibri"/>
                <w:sz w:val="20"/>
                <w:szCs w:val="20"/>
              </w:rPr>
              <w:t>3</w:t>
            </w:r>
          </w:p>
        </w:tc>
        <w:tc>
          <w:tcPr>
            <w:tcW w:w="2613" w:type="dxa"/>
            <w:tcBorders>
              <w:top w:val="single" w:sz="12" w:space="0" w:color="002060"/>
              <w:left w:val="single" w:sz="12" w:space="0" w:color="002060"/>
              <w:bottom w:val="single" w:sz="12" w:space="0" w:color="002060"/>
              <w:right w:val="single" w:sz="2" w:space="0" w:color="002060"/>
            </w:tcBorders>
            <w:vAlign w:val="center"/>
          </w:tcPr>
          <w:p w14:paraId="7C70890C" w14:textId="77777777" w:rsidR="001447F3" w:rsidRPr="009325D3" w:rsidRDefault="001447F3"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638" w:type="dxa"/>
            <w:tcBorders>
              <w:top w:val="single" w:sz="12" w:space="0" w:color="002060"/>
              <w:left w:val="single" w:sz="2" w:space="0" w:color="002060"/>
              <w:bottom w:val="single" w:sz="12" w:space="0" w:color="002060"/>
              <w:right w:val="single" w:sz="12" w:space="0" w:color="002060"/>
            </w:tcBorders>
            <w:vAlign w:val="center"/>
          </w:tcPr>
          <w:p w14:paraId="04468D85" w14:textId="77777777" w:rsidR="001447F3" w:rsidRPr="009325D3" w:rsidRDefault="001447F3" w:rsidP="000B288C">
            <w:pPr>
              <w:pStyle w:val="Sansinterligne"/>
              <w:jc w:val="center"/>
              <w:rPr>
                <w:rFonts w:ascii="Calibri" w:hAnsi="Calibri" w:cs="Calibri"/>
                <w:sz w:val="20"/>
                <w:szCs w:val="20"/>
              </w:rPr>
            </w:pPr>
            <w:r w:rsidRPr="009325D3">
              <w:rPr>
                <w:rFonts w:ascii="Calibri" w:hAnsi="Calibri" w:cs="Calibri"/>
                <w:sz w:val="20"/>
                <w:szCs w:val="20"/>
              </w:rPr>
              <w:t xml:space="preserve">Néant </w:t>
            </w:r>
          </w:p>
        </w:tc>
      </w:tr>
    </w:tbl>
    <w:p w14:paraId="724CB0B5" w14:textId="77777777" w:rsidR="001447F3" w:rsidRDefault="001447F3" w:rsidP="001447F3">
      <w:pPr>
        <w:pStyle w:val="Sansinterligne"/>
        <w:jc w:val="both"/>
      </w:pPr>
    </w:p>
    <w:p w14:paraId="098A5927" w14:textId="77777777" w:rsidR="00CE6045" w:rsidRPr="004A7CAA" w:rsidRDefault="00CE6045" w:rsidP="00CE6045">
      <w:pPr>
        <w:pStyle w:val="Sansinterligne"/>
        <w:shd w:val="clear" w:color="auto" w:fill="DEEAF6" w:themeFill="accent5" w:themeFillTint="33"/>
        <w:jc w:val="both"/>
        <w:rPr>
          <w:b/>
          <w:bCs/>
          <w:color w:val="002060"/>
          <w:sz w:val="28"/>
          <w:szCs w:val="28"/>
        </w:rPr>
      </w:pPr>
      <w:r w:rsidRPr="004A7CAA">
        <w:rPr>
          <w:b/>
          <w:bCs/>
          <w:color w:val="FFFFFF" w:themeColor="background1"/>
          <w:sz w:val="28"/>
          <w:szCs w:val="28"/>
          <w:shd w:val="clear" w:color="auto" w:fill="002060"/>
        </w:rPr>
        <w:t>QUOI ?</w:t>
      </w:r>
      <w:r w:rsidRPr="006E3DEA">
        <w:rPr>
          <w:b/>
          <w:bCs/>
          <w:color w:val="002060"/>
          <w:sz w:val="28"/>
          <w:szCs w:val="28"/>
        </w:rPr>
        <w:t xml:space="preserve">  </w:t>
      </w:r>
      <w:r>
        <w:rPr>
          <w:b/>
          <w:bCs/>
          <w:color w:val="002060"/>
          <w:sz w:val="28"/>
          <w:szCs w:val="28"/>
        </w:rPr>
        <w:t>Contexte et o</w:t>
      </w:r>
      <w:r w:rsidRPr="004A7CAA">
        <w:rPr>
          <w:b/>
          <w:bCs/>
          <w:color w:val="002060"/>
          <w:sz w:val="28"/>
          <w:szCs w:val="28"/>
        </w:rPr>
        <w:t>bjectifs</w:t>
      </w:r>
    </w:p>
    <w:p w14:paraId="1B8AECB6" w14:textId="77777777" w:rsidR="00CE6045" w:rsidRDefault="00CE6045" w:rsidP="00CE6045">
      <w:pPr>
        <w:pStyle w:val="Sansinterligne"/>
        <w:jc w:val="both"/>
      </w:pPr>
    </w:p>
    <w:p w14:paraId="3BA7B6CB" w14:textId="77777777" w:rsidR="00CE6045" w:rsidRPr="0051795D" w:rsidRDefault="00CE6045" w:rsidP="00CE6045">
      <w:pPr>
        <w:pStyle w:val="Sansinterligne"/>
        <w:jc w:val="both"/>
        <w:rPr>
          <w:color w:val="000000" w:themeColor="text1"/>
        </w:rPr>
      </w:pPr>
      <w:r w:rsidRPr="0051795D">
        <w:rPr>
          <w:color w:val="000000" w:themeColor="text1"/>
        </w:rPr>
        <w:t xml:space="preserve">Ne pas avoir accès à Internet ou ne pas savoir utiliser les outils numériques représentent un handicap pour près de 17% de la population française, selon une étude de l’Institut national de la statistique et des études économiques (INSEE). Cet illettrisme numérique, appelé "illectronisme" touche en particulier les populations les plus fragiles. </w:t>
      </w:r>
    </w:p>
    <w:p w14:paraId="2C1C57D3" w14:textId="77777777" w:rsidR="00CE6045" w:rsidRDefault="00CE6045" w:rsidP="00CE6045">
      <w:pPr>
        <w:pStyle w:val="Sansinterligne"/>
        <w:jc w:val="both"/>
        <w:rPr>
          <w:color w:val="000000" w:themeColor="text1"/>
        </w:rPr>
      </w:pPr>
    </w:p>
    <w:p w14:paraId="5661F778" w14:textId="77777777" w:rsidR="00CE6045" w:rsidRPr="0051795D" w:rsidRDefault="00CE6045" w:rsidP="00CE6045">
      <w:pPr>
        <w:pStyle w:val="Sansinterligne"/>
        <w:jc w:val="both"/>
        <w:rPr>
          <w:color w:val="000000" w:themeColor="text1"/>
        </w:rPr>
      </w:pPr>
      <w:r w:rsidRPr="0051795D">
        <w:rPr>
          <w:color w:val="000000" w:themeColor="text1"/>
        </w:rPr>
        <w:t xml:space="preserve">En Centre-Val de Loire, comme partout en France, la médiation numérique vise ainsi à soutenir et accompagner ses usages et développer la culture numérique de tous : dans une société en pleine transformation numérique, aucun individu ne doit se retrouver sans solution et ni accompagnement tant dans ses démarches administratives et que dans sa vie personnelle ou professionnelle. </w:t>
      </w:r>
    </w:p>
    <w:p w14:paraId="075F8AD1" w14:textId="77777777" w:rsidR="00CE6045" w:rsidRDefault="00CE6045" w:rsidP="00CE6045">
      <w:pPr>
        <w:pStyle w:val="Sansinterligne"/>
        <w:jc w:val="both"/>
        <w:rPr>
          <w:color w:val="000000" w:themeColor="text1"/>
        </w:rPr>
      </w:pPr>
    </w:p>
    <w:p w14:paraId="775D2DB1" w14:textId="77777777" w:rsidR="00CE6045" w:rsidRPr="0051795D" w:rsidRDefault="00CE6045" w:rsidP="00CE6045">
      <w:pPr>
        <w:pStyle w:val="Sansinterligne"/>
        <w:jc w:val="both"/>
        <w:rPr>
          <w:color w:val="000000" w:themeColor="text1"/>
        </w:rPr>
      </w:pPr>
      <w:r w:rsidRPr="0051795D">
        <w:rPr>
          <w:color w:val="000000" w:themeColor="text1"/>
        </w:rPr>
        <w:t xml:space="preserve">L’accès des services dématérialisés, l’accès à l’acquisition de compétences numériques, la transition numérique des entreprises, sont autant de missions conduites par les acteurs de la médiation numérique, s’inscrivant dans le cadre des stratégies d’innovation de la Région ainsi que des autres collectivités.  </w:t>
      </w:r>
    </w:p>
    <w:p w14:paraId="4CAEE13A" w14:textId="77777777" w:rsidR="00CE6045" w:rsidRDefault="00CE6045" w:rsidP="00CE6045">
      <w:pPr>
        <w:pStyle w:val="Sansinterligne"/>
        <w:jc w:val="both"/>
        <w:rPr>
          <w:b/>
          <w:bCs/>
          <w:color w:val="002060"/>
        </w:rPr>
      </w:pPr>
    </w:p>
    <w:p w14:paraId="6C0346B5" w14:textId="77777777" w:rsidR="00CE6045" w:rsidRPr="00826105" w:rsidRDefault="00CE6045" w:rsidP="00CE6045">
      <w:pPr>
        <w:pStyle w:val="Sansinterligne"/>
        <w:jc w:val="both"/>
        <w:rPr>
          <w:color w:val="000000" w:themeColor="text1"/>
        </w:rPr>
      </w:pPr>
      <w:r w:rsidRPr="00826105">
        <w:rPr>
          <w:color w:val="000000" w:themeColor="text1"/>
        </w:rPr>
        <w:t>Le soutien du FEDER concernera </w:t>
      </w:r>
      <w:r>
        <w:rPr>
          <w:color w:val="000000" w:themeColor="text1"/>
        </w:rPr>
        <w:t xml:space="preserve">le développement </w:t>
      </w:r>
      <w:r w:rsidRPr="00826105">
        <w:rPr>
          <w:color w:val="000000" w:themeColor="text1"/>
        </w:rPr>
        <w:t xml:space="preserve">:  </w:t>
      </w:r>
    </w:p>
    <w:p w14:paraId="54BC8962" w14:textId="77777777" w:rsidR="00CE6045" w:rsidRDefault="00CE6045" w:rsidP="00CE6045">
      <w:pPr>
        <w:pStyle w:val="Sansinterligne"/>
        <w:jc w:val="both"/>
        <w:rPr>
          <w:b/>
          <w:bCs/>
          <w:color w:val="002060"/>
        </w:rPr>
      </w:pPr>
    </w:p>
    <w:p w14:paraId="5FEF69B6" w14:textId="77777777" w:rsidR="00CE6045" w:rsidRPr="00173224" w:rsidRDefault="00CE6045" w:rsidP="00CE6045">
      <w:pPr>
        <w:pStyle w:val="Sansinterligne"/>
        <w:jc w:val="both"/>
      </w:pPr>
      <w:r>
        <w:rPr>
          <w:b/>
          <w:bCs/>
          <w:color w:val="002060"/>
        </w:rPr>
        <w:t>De projets de n</w:t>
      </w:r>
      <w:r w:rsidRPr="00B70892">
        <w:rPr>
          <w:b/>
          <w:bCs/>
          <w:color w:val="002060"/>
        </w:rPr>
        <w:t>umérisation au bénéfice des entreprises :</w:t>
      </w:r>
    </w:p>
    <w:p w14:paraId="7EB767A5" w14:textId="77777777" w:rsidR="00CE6045" w:rsidRDefault="00CE6045" w:rsidP="00CE6045">
      <w:pPr>
        <w:pStyle w:val="Sansinterligne"/>
        <w:jc w:val="both"/>
      </w:pPr>
    </w:p>
    <w:p w14:paraId="5D1020CC" w14:textId="77777777" w:rsidR="00CE6045" w:rsidRPr="003E31CA" w:rsidRDefault="00CE6045" w:rsidP="00CE6045">
      <w:pPr>
        <w:pStyle w:val="Paragraphedeliste"/>
        <w:numPr>
          <w:ilvl w:val="0"/>
          <w:numId w:val="13"/>
        </w:numPr>
        <w:spacing w:after="160" w:line="259" w:lineRule="auto"/>
        <w:rPr>
          <w:rFonts w:asciiTheme="minorHAnsi" w:hAnsiTheme="minorHAnsi" w:cstheme="minorHAnsi"/>
          <w:sz w:val="22"/>
        </w:rPr>
      </w:pPr>
      <w:r w:rsidRPr="003E31CA">
        <w:rPr>
          <w:rFonts w:asciiTheme="minorHAnsi" w:hAnsiTheme="minorHAnsi" w:cstheme="minorHAnsi"/>
          <w:sz w:val="22"/>
        </w:rPr>
        <w:t xml:space="preserve">Soutien au financement de tiers-lieux, espaces de </w:t>
      </w:r>
      <w:proofErr w:type="spellStart"/>
      <w:r w:rsidRPr="003E31CA">
        <w:rPr>
          <w:rFonts w:asciiTheme="minorHAnsi" w:hAnsiTheme="minorHAnsi" w:cstheme="minorHAnsi"/>
          <w:sz w:val="22"/>
        </w:rPr>
        <w:t>co-working</w:t>
      </w:r>
      <w:proofErr w:type="spellEnd"/>
      <w:r w:rsidRPr="003E31CA">
        <w:rPr>
          <w:rFonts w:asciiTheme="minorHAnsi" w:hAnsiTheme="minorHAnsi" w:cstheme="minorHAnsi"/>
          <w:sz w:val="22"/>
        </w:rPr>
        <w:t>, de Fablabs et industrie LAB au profit des entreprises régionales, ainsi qu’à l’animation du réseau</w:t>
      </w:r>
    </w:p>
    <w:p w14:paraId="4EC715B0" w14:textId="77777777" w:rsidR="00CE6045" w:rsidRDefault="00CE6045" w:rsidP="00CE6045">
      <w:pPr>
        <w:pStyle w:val="Sansinterligne"/>
        <w:jc w:val="both"/>
        <w:rPr>
          <w:b/>
          <w:bCs/>
          <w:color w:val="002060"/>
        </w:rPr>
      </w:pPr>
      <w:r>
        <w:rPr>
          <w:b/>
          <w:bCs/>
          <w:color w:val="002060"/>
        </w:rPr>
        <w:t>De projets de n</w:t>
      </w:r>
      <w:r w:rsidRPr="00877506">
        <w:rPr>
          <w:b/>
          <w:bCs/>
          <w:color w:val="002060"/>
        </w:rPr>
        <w:t>umérisation au profit des pouvoirs publics et des citoyens :</w:t>
      </w:r>
    </w:p>
    <w:p w14:paraId="4697EA23" w14:textId="77777777" w:rsidR="00CE6045" w:rsidRDefault="00CE6045" w:rsidP="00CE6045">
      <w:pPr>
        <w:pStyle w:val="Sansinterligne"/>
        <w:jc w:val="both"/>
        <w:rPr>
          <w:b/>
          <w:bCs/>
          <w:color w:val="002060"/>
        </w:rPr>
      </w:pPr>
    </w:p>
    <w:p w14:paraId="4CFE1B74" w14:textId="77777777" w:rsidR="00CE6045" w:rsidRDefault="00CE6045" w:rsidP="00CE6045">
      <w:pPr>
        <w:pStyle w:val="Sansinterligne"/>
        <w:numPr>
          <w:ilvl w:val="0"/>
          <w:numId w:val="14"/>
        </w:numPr>
        <w:jc w:val="both"/>
      </w:pPr>
      <w:r>
        <w:t xml:space="preserve">Démultiplication et soutien des « tiers-lieux » permettant aux acteurs de communautés numériques de travailler ensemble et de contribuer à un projet, accroissement des outils de travail partagé suscitant l’émergence de produits et services innovants, coopération d’acteurs </w:t>
      </w:r>
    </w:p>
    <w:p w14:paraId="4B7009B5" w14:textId="77777777" w:rsidR="00CE6045" w:rsidRDefault="00CE6045" w:rsidP="00CE6045">
      <w:pPr>
        <w:pStyle w:val="Sansinterligne"/>
        <w:numPr>
          <w:ilvl w:val="0"/>
          <w:numId w:val="14"/>
        </w:numPr>
        <w:jc w:val="both"/>
      </w:pPr>
      <w:r>
        <w:t>Lutte contre les « fractures » générationnelles ou sociales par le développement, à travers ces tiers lieux, d’actions en faveur des personnes qui pourraient avoir des difficultés dans l’appropriation des « nouveaux » usages numériques</w:t>
      </w:r>
    </w:p>
    <w:p w14:paraId="2431330E" w14:textId="77777777" w:rsidR="00CE6045" w:rsidRDefault="00CE6045" w:rsidP="00CE6045">
      <w:pPr>
        <w:pStyle w:val="Sansinterligne"/>
        <w:jc w:val="both"/>
      </w:pPr>
    </w:p>
    <w:p w14:paraId="0E8072CF" w14:textId="77777777" w:rsidR="00CE6045" w:rsidRPr="004A7CAA" w:rsidRDefault="00CE6045" w:rsidP="00CE6045">
      <w:pPr>
        <w:pStyle w:val="Sansinterligne"/>
        <w:shd w:val="clear" w:color="auto" w:fill="DEEAF6" w:themeFill="accent5" w:themeFillTint="33"/>
        <w:jc w:val="both"/>
        <w:rPr>
          <w:b/>
          <w:bCs/>
          <w:color w:val="002060"/>
          <w:sz w:val="28"/>
          <w:szCs w:val="28"/>
        </w:rPr>
      </w:pPr>
      <w:r w:rsidRPr="004A7CAA">
        <w:rPr>
          <w:b/>
          <w:bCs/>
          <w:color w:val="FFFFFF" w:themeColor="background1"/>
          <w:sz w:val="28"/>
          <w:szCs w:val="28"/>
          <w:shd w:val="clear" w:color="auto" w:fill="002060"/>
        </w:rPr>
        <w:t xml:space="preserve">QUOI ? </w:t>
      </w:r>
      <w:r>
        <w:rPr>
          <w:b/>
          <w:bCs/>
          <w:color w:val="002060"/>
          <w:sz w:val="28"/>
          <w:szCs w:val="28"/>
        </w:rPr>
        <w:t xml:space="preserve"> Description des interventions soutenues dans le Programme </w:t>
      </w:r>
    </w:p>
    <w:p w14:paraId="70C1370E" w14:textId="77777777" w:rsidR="00CE6045" w:rsidRDefault="00CE6045" w:rsidP="00CE6045">
      <w:pPr>
        <w:pStyle w:val="Sansinterligne"/>
        <w:jc w:val="both"/>
      </w:pPr>
    </w:p>
    <w:p w14:paraId="3F69F558" w14:textId="77777777" w:rsidR="00CE6045" w:rsidRDefault="00CE6045" w:rsidP="00CE6045">
      <w:pPr>
        <w:pStyle w:val="Sansinterligne"/>
        <w:numPr>
          <w:ilvl w:val="0"/>
          <w:numId w:val="18"/>
        </w:numPr>
        <w:jc w:val="both"/>
        <w:rPr>
          <w:b/>
          <w:bCs/>
          <w:color w:val="002060"/>
        </w:rPr>
      </w:pPr>
      <w:r w:rsidRPr="000933C8">
        <w:rPr>
          <w:b/>
          <w:bCs/>
          <w:color w:val="002060"/>
        </w:rPr>
        <w:t>Médiation numérique pour tous (citoyens, TPE-PME, associations) de l’illectronisme à l’appropriation par tous des outils et des usages numériques</w:t>
      </w:r>
    </w:p>
    <w:p w14:paraId="5EF6021D" w14:textId="77777777" w:rsidR="00CE6045" w:rsidRDefault="00CE6045" w:rsidP="00CE6045">
      <w:pPr>
        <w:pStyle w:val="Sansinterligne"/>
        <w:jc w:val="both"/>
        <w:rPr>
          <w:color w:val="000000" w:themeColor="text1"/>
        </w:rPr>
      </w:pPr>
    </w:p>
    <w:p w14:paraId="1EBC07E0" w14:textId="77777777" w:rsidR="00CE6045" w:rsidRDefault="00CE6045" w:rsidP="00CE6045">
      <w:pPr>
        <w:pStyle w:val="Sansinterligne"/>
        <w:jc w:val="both"/>
        <w:rPr>
          <w:color w:val="000000" w:themeColor="text1"/>
        </w:rPr>
      </w:pPr>
      <w:r w:rsidRPr="00CB6C3D">
        <w:rPr>
          <w:color w:val="000000" w:themeColor="text1"/>
        </w:rPr>
        <w:t>Les actions proposées visent à répondre à la situation d’urgence qui voit des citoyens exclus de l’accès à des usages numériques fondamentaux et essentiels pour leur vie sociale et professionnelle. Il en résulte notamment des difficultés à évoluer dans les métiers, et une perte de compétitivité globale des entreprises, une fragilisation des territoires. La concertation des structures contribuant à la médiation numérique, dans une échelle territoriale de la proximité, doit permettre l’écriture d’une stratégie numérique locale à l’échelle des bassins de vie, au service des citoyens, des petites entreprises et des associations.</w:t>
      </w:r>
    </w:p>
    <w:p w14:paraId="2E86E116" w14:textId="77777777" w:rsidR="00CE6045" w:rsidRDefault="00CE6045" w:rsidP="00CE6045">
      <w:pPr>
        <w:pStyle w:val="Sansinterligne"/>
        <w:jc w:val="both"/>
        <w:rPr>
          <w:color w:val="000000" w:themeColor="text1"/>
        </w:rPr>
      </w:pPr>
    </w:p>
    <w:p w14:paraId="5B7015FE" w14:textId="77777777" w:rsidR="00CE6045" w:rsidRDefault="00CE6045" w:rsidP="00CE6045">
      <w:pPr>
        <w:pStyle w:val="Sansinterligne"/>
        <w:jc w:val="both"/>
        <w:rPr>
          <w:color w:val="000000" w:themeColor="text1"/>
        </w:rPr>
      </w:pPr>
    </w:p>
    <w:p w14:paraId="43D0068C" w14:textId="77777777" w:rsidR="00CE6045" w:rsidRPr="00FE604E" w:rsidRDefault="00CE6045" w:rsidP="00CE6045">
      <w:pPr>
        <w:pStyle w:val="Sansinterligne"/>
        <w:jc w:val="both"/>
        <w:rPr>
          <w:color w:val="000000" w:themeColor="text1"/>
        </w:rPr>
      </w:pPr>
    </w:p>
    <w:p w14:paraId="0775D220" w14:textId="77777777" w:rsidR="00CE6045" w:rsidRDefault="00CE6045" w:rsidP="00CE6045">
      <w:pPr>
        <w:pStyle w:val="Sansinterligne"/>
        <w:numPr>
          <w:ilvl w:val="0"/>
          <w:numId w:val="18"/>
        </w:numPr>
        <w:jc w:val="both"/>
        <w:rPr>
          <w:b/>
          <w:bCs/>
          <w:color w:val="002060"/>
        </w:rPr>
      </w:pPr>
      <w:r w:rsidRPr="00D135AB">
        <w:rPr>
          <w:b/>
          <w:bCs/>
          <w:color w:val="002060"/>
        </w:rPr>
        <w:lastRenderedPageBreak/>
        <w:t xml:space="preserve">Accompagner les territoires dans la définition de leur stratégie de </w:t>
      </w:r>
      <w:r>
        <w:rPr>
          <w:b/>
          <w:bCs/>
          <w:color w:val="002060"/>
        </w:rPr>
        <w:t>m</w:t>
      </w:r>
      <w:r w:rsidRPr="00D135AB">
        <w:rPr>
          <w:b/>
          <w:bCs/>
          <w:color w:val="002060"/>
        </w:rPr>
        <w:t>édiation numérique pour tous</w:t>
      </w:r>
    </w:p>
    <w:p w14:paraId="4E0AD3E4" w14:textId="77777777" w:rsidR="00CE6045" w:rsidRDefault="00CE6045" w:rsidP="00CE6045">
      <w:pPr>
        <w:pStyle w:val="Sansinterligne"/>
        <w:jc w:val="both"/>
        <w:rPr>
          <w:color w:val="000000" w:themeColor="text1"/>
        </w:rPr>
      </w:pPr>
    </w:p>
    <w:p w14:paraId="106FA97F" w14:textId="77777777" w:rsidR="00CE6045" w:rsidRPr="00106ABB" w:rsidRDefault="00CE6045" w:rsidP="00CE6045">
      <w:pPr>
        <w:pStyle w:val="Sansinterligne"/>
        <w:numPr>
          <w:ilvl w:val="0"/>
          <w:numId w:val="15"/>
        </w:numPr>
        <w:jc w:val="both"/>
        <w:rPr>
          <w:color w:val="000000" w:themeColor="text1"/>
        </w:rPr>
      </w:pPr>
      <w:r w:rsidRPr="00106ABB">
        <w:rPr>
          <w:color w:val="000000" w:themeColor="text1"/>
        </w:rPr>
        <w:t>Animation territoriale en suscitant un projet numérique de territoire articulant les questions de formation, d’animation et de consolidation du modèle économique de la médiation (Illectronisme, accompagnement aux services publics et accès au droit, usages numériques variés, appropriation des outils par les professionnels, animation des communautés, créativité numérique)</w:t>
      </w:r>
    </w:p>
    <w:p w14:paraId="26C6348C" w14:textId="77777777" w:rsidR="00CE6045" w:rsidRPr="00106ABB" w:rsidRDefault="00CE6045" w:rsidP="00CE6045">
      <w:pPr>
        <w:pStyle w:val="Sansinterligne"/>
        <w:numPr>
          <w:ilvl w:val="0"/>
          <w:numId w:val="15"/>
        </w:numPr>
        <w:jc w:val="both"/>
        <w:rPr>
          <w:color w:val="000000" w:themeColor="text1"/>
        </w:rPr>
      </w:pPr>
      <w:r w:rsidRPr="00106ABB">
        <w:rPr>
          <w:color w:val="000000" w:themeColor="text1"/>
        </w:rPr>
        <w:t>Accompagnement des personnes en « illectronisme »</w:t>
      </w:r>
    </w:p>
    <w:p w14:paraId="1CDA964F" w14:textId="77777777" w:rsidR="00CE6045" w:rsidRPr="00106ABB" w:rsidRDefault="00CE6045" w:rsidP="00CE6045">
      <w:pPr>
        <w:pStyle w:val="Sansinterligne"/>
        <w:numPr>
          <w:ilvl w:val="0"/>
          <w:numId w:val="15"/>
        </w:numPr>
        <w:jc w:val="both"/>
        <w:rPr>
          <w:color w:val="000000" w:themeColor="text1"/>
        </w:rPr>
      </w:pPr>
      <w:r w:rsidRPr="00106ABB">
        <w:rPr>
          <w:color w:val="000000" w:themeColor="text1"/>
        </w:rPr>
        <w:t>Soutien au</w:t>
      </w:r>
      <w:r>
        <w:rPr>
          <w:color w:val="000000" w:themeColor="text1"/>
        </w:rPr>
        <w:t>x</w:t>
      </w:r>
      <w:r w:rsidRPr="00106ABB">
        <w:rPr>
          <w:color w:val="000000" w:themeColor="text1"/>
        </w:rPr>
        <w:t xml:space="preserve"> centre</w:t>
      </w:r>
      <w:r>
        <w:rPr>
          <w:color w:val="000000" w:themeColor="text1"/>
        </w:rPr>
        <w:t>s</w:t>
      </w:r>
      <w:r w:rsidRPr="00106ABB">
        <w:rPr>
          <w:color w:val="000000" w:themeColor="text1"/>
        </w:rPr>
        <w:t xml:space="preserve"> de ressources, de compétences et de mutualisation (dans le domaine des usages liés au numérique)</w:t>
      </w:r>
    </w:p>
    <w:p w14:paraId="08C51810" w14:textId="77777777" w:rsidR="00CE6045" w:rsidRPr="009F0728" w:rsidRDefault="00CE6045" w:rsidP="00CE6045">
      <w:pPr>
        <w:pStyle w:val="Sansinterligne"/>
        <w:numPr>
          <w:ilvl w:val="0"/>
          <w:numId w:val="15"/>
        </w:numPr>
        <w:jc w:val="both"/>
        <w:rPr>
          <w:color w:val="000000" w:themeColor="text1"/>
        </w:rPr>
      </w:pPr>
      <w:r w:rsidRPr="00106ABB">
        <w:rPr>
          <w:color w:val="000000" w:themeColor="text1"/>
        </w:rPr>
        <w:t>Actions favorisant la médiation et l’inclusion numérique (animation d’acteurs, échange d’expérience, action et évènements fédératifs, soutien aux structures…)</w:t>
      </w:r>
    </w:p>
    <w:p w14:paraId="0C38DC9B" w14:textId="77777777" w:rsidR="00CE6045" w:rsidRPr="00FE604E" w:rsidRDefault="00CE6045" w:rsidP="00CE6045">
      <w:pPr>
        <w:pStyle w:val="Sansinterligne"/>
        <w:jc w:val="both"/>
        <w:rPr>
          <w:color w:val="000000" w:themeColor="text1"/>
        </w:rPr>
      </w:pPr>
    </w:p>
    <w:p w14:paraId="7C73E206" w14:textId="77777777" w:rsidR="00CE6045" w:rsidRDefault="00CE6045" w:rsidP="00CE6045">
      <w:pPr>
        <w:pStyle w:val="Sansinterligne"/>
        <w:numPr>
          <w:ilvl w:val="0"/>
          <w:numId w:val="18"/>
        </w:numPr>
        <w:jc w:val="both"/>
        <w:rPr>
          <w:b/>
          <w:bCs/>
          <w:color w:val="002060"/>
        </w:rPr>
      </w:pPr>
      <w:r w:rsidRPr="00755737">
        <w:rPr>
          <w:b/>
          <w:bCs/>
          <w:color w:val="002060"/>
        </w:rPr>
        <w:t>Armer tous les citoyens dans la société numérique</w:t>
      </w:r>
    </w:p>
    <w:p w14:paraId="04B2F778" w14:textId="77777777" w:rsidR="00CE6045" w:rsidRDefault="00CE6045" w:rsidP="00CE6045">
      <w:pPr>
        <w:pStyle w:val="Sansinterligne"/>
        <w:jc w:val="both"/>
        <w:rPr>
          <w:color w:val="000000" w:themeColor="text1"/>
        </w:rPr>
      </w:pPr>
    </w:p>
    <w:p w14:paraId="60CC70A9" w14:textId="77777777" w:rsidR="00CE6045" w:rsidRPr="00662C26" w:rsidRDefault="00CE6045" w:rsidP="00CE6045">
      <w:pPr>
        <w:pStyle w:val="Sansinterligne"/>
        <w:numPr>
          <w:ilvl w:val="0"/>
          <w:numId w:val="16"/>
        </w:numPr>
        <w:jc w:val="both"/>
        <w:rPr>
          <w:color w:val="000000" w:themeColor="text1"/>
        </w:rPr>
      </w:pPr>
      <w:r w:rsidRPr="00662C26">
        <w:rPr>
          <w:color w:val="000000" w:themeColor="text1"/>
        </w:rPr>
        <w:t xml:space="preserve">Démultiplication des « tiers-lieux » permettant aux acteurs de communautés numériques de travailler ensemble et de contribuer à un projet, accroissement des outils de travail partagé suscitant l’émergence de produits et services innovants, coopération d’acteurs </w:t>
      </w:r>
    </w:p>
    <w:p w14:paraId="1E0AFAD5" w14:textId="77777777" w:rsidR="00CE6045" w:rsidRPr="00662C26" w:rsidRDefault="00CE6045" w:rsidP="00CE6045">
      <w:pPr>
        <w:pStyle w:val="Sansinterligne"/>
        <w:numPr>
          <w:ilvl w:val="0"/>
          <w:numId w:val="16"/>
        </w:numPr>
        <w:jc w:val="both"/>
        <w:rPr>
          <w:color w:val="000000" w:themeColor="text1"/>
        </w:rPr>
      </w:pPr>
      <w:r w:rsidRPr="00484C28">
        <w:rPr>
          <w:color w:val="000000" w:themeColor="text1"/>
        </w:rPr>
        <w:t>Soutien au financement des espaces de</w:t>
      </w:r>
      <w:r w:rsidRPr="00662C26">
        <w:rPr>
          <w:color w:val="000000" w:themeColor="text1"/>
        </w:rPr>
        <w:t xml:space="preserve"> </w:t>
      </w:r>
      <w:proofErr w:type="spellStart"/>
      <w:r w:rsidRPr="00662C26">
        <w:rPr>
          <w:color w:val="000000" w:themeColor="text1"/>
        </w:rPr>
        <w:t>co-working</w:t>
      </w:r>
      <w:proofErr w:type="spellEnd"/>
      <w:r w:rsidRPr="00662C26">
        <w:rPr>
          <w:color w:val="000000" w:themeColor="text1"/>
        </w:rPr>
        <w:t>, de Fablabs au profit des entreprises régionales, ainsi qu’à l’animation du réseau, fonds d’intervention pour des initiatives territoriales</w:t>
      </w:r>
    </w:p>
    <w:p w14:paraId="26458563" w14:textId="77777777" w:rsidR="00CE6045" w:rsidRPr="00662C26" w:rsidRDefault="00CE6045" w:rsidP="00CE6045">
      <w:pPr>
        <w:pStyle w:val="Sansinterligne"/>
        <w:numPr>
          <w:ilvl w:val="0"/>
          <w:numId w:val="16"/>
        </w:numPr>
        <w:jc w:val="both"/>
        <w:rPr>
          <w:color w:val="000000" w:themeColor="text1"/>
        </w:rPr>
      </w:pPr>
      <w:proofErr w:type="spellStart"/>
      <w:r w:rsidRPr="00662C26">
        <w:rPr>
          <w:color w:val="000000" w:themeColor="text1"/>
        </w:rPr>
        <w:t>Makers</w:t>
      </w:r>
      <w:proofErr w:type="spellEnd"/>
    </w:p>
    <w:p w14:paraId="541AEFCB" w14:textId="77777777" w:rsidR="00CE6045" w:rsidRPr="00254FFD" w:rsidRDefault="00CE6045" w:rsidP="00CE6045">
      <w:pPr>
        <w:pStyle w:val="Sansinterligne"/>
        <w:numPr>
          <w:ilvl w:val="0"/>
          <w:numId w:val="16"/>
        </w:numPr>
        <w:jc w:val="both"/>
        <w:rPr>
          <w:color w:val="000000" w:themeColor="text1"/>
        </w:rPr>
      </w:pPr>
      <w:r w:rsidRPr="00254FFD">
        <w:rPr>
          <w:color w:val="000000" w:themeColor="text1"/>
        </w:rPr>
        <w:t>Dispositifs de formation citoyenne (hors formation professionnelle), notamment en direction des élus du territoire et des responsables associatifs</w:t>
      </w:r>
    </w:p>
    <w:p w14:paraId="286E2DDE" w14:textId="77777777" w:rsidR="00CE6045" w:rsidRPr="00662C26" w:rsidRDefault="00CE6045" w:rsidP="00CE6045">
      <w:pPr>
        <w:pStyle w:val="Sansinterligne"/>
        <w:ind w:left="720"/>
        <w:jc w:val="both"/>
        <w:rPr>
          <w:color w:val="000000" w:themeColor="text1"/>
        </w:rPr>
      </w:pPr>
    </w:p>
    <w:p w14:paraId="25E25F70" w14:textId="77777777" w:rsidR="00CE6045" w:rsidRPr="002C70D5" w:rsidRDefault="00CE6045" w:rsidP="00CE6045">
      <w:pPr>
        <w:pStyle w:val="Sansinterligne"/>
        <w:shd w:val="clear" w:color="auto" w:fill="B3FFEB"/>
        <w:jc w:val="both"/>
        <w:rPr>
          <w:b/>
          <w:bCs/>
          <w:sz w:val="28"/>
          <w:szCs w:val="28"/>
        </w:rPr>
      </w:pPr>
      <w:r w:rsidRPr="002C70D5">
        <w:rPr>
          <w:b/>
          <w:bCs/>
          <w:color w:val="FFFFFF" w:themeColor="background1"/>
          <w:sz w:val="28"/>
          <w:szCs w:val="28"/>
          <w:shd w:val="clear" w:color="auto" w:fill="00CC99"/>
        </w:rPr>
        <w:t xml:space="preserve">QUI ? </w:t>
      </w:r>
      <w:r w:rsidRPr="002C70D5">
        <w:rPr>
          <w:b/>
          <w:bCs/>
          <w:sz w:val="28"/>
          <w:szCs w:val="28"/>
        </w:rPr>
        <w:t xml:space="preserve"> </w:t>
      </w:r>
      <w:r w:rsidRPr="002C70D5">
        <w:rPr>
          <w:b/>
          <w:bCs/>
          <w:color w:val="002060"/>
          <w:sz w:val="28"/>
          <w:szCs w:val="28"/>
        </w:rPr>
        <w:t>Bénéficiaires potentiels</w:t>
      </w:r>
    </w:p>
    <w:p w14:paraId="78741198" w14:textId="77777777" w:rsidR="00CE6045" w:rsidRDefault="00CE6045" w:rsidP="00CE6045">
      <w:pPr>
        <w:pStyle w:val="Sansinterligne"/>
        <w:jc w:val="both"/>
      </w:pPr>
    </w:p>
    <w:p w14:paraId="17D3E01E" w14:textId="77777777" w:rsidR="00CE6045" w:rsidRDefault="00CE6045" w:rsidP="00CE6045">
      <w:pPr>
        <w:pStyle w:val="Sansinterligne"/>
        <w:numPr>
          <w:ilvl w:val="0"/>
          <w:numId w:val="17"/>
        </w:numPr>
        <w:jc w:val="both"/>
      </w:pPr>
      <w:r>
        <w:t xml:space="preserve">Collectivités territoriales et leur groupement </w:t>
      </w:r>
    </w:p>
    <w:p w14:paraId="3649A7F4" w14:textId="77777777" w:rsidR="00CE6045" w:rsidRDefault="00CE6045" w:rsidP="00CE6045">
      <w:pPr>
        <w:pStyle w:val="Sansinterligne"/>
        <w:numPr>
          <w:ilvl w:val="0"/>
          <w:numId w:val="17"/>
        </w:numPr>
        <w:jc w:val="both"/>
      </w:pPr>
      <w:r>
        <w:t xml:space="preserve">Associations </w:t>
      </w:r>
    </w:p>
    <w:p w14:paraId="42BD194D" w14:textId="77777777" w:rsidR="00CE6045" w:rsidRPr="00254FFD" w:rsidRDefault="00CE6045" w:rsidP="00CE6045">
      <w:pPr>
        <w:pStyle w:val="Sansinterligne"/>
        <w:numPr>
          <w:ilvl w:val="0"/>
          <w:numId w:val="17"/>
        </w:numPr>
        <w:jc w:val="both"/>
      </w:pPr>
      <w:r w:rsidRPr="00254FFD">
        <w:t>Entreprises (TPE/PME, ou ETI dans le cadre de projets collaboratifs impliquant des PME)</w:t>
      </w:r>
    </w:p>
    <w:p w14:paraId="6B807AC2" w14:textId="77777777" w:rsidR="00CE6045" w:rsidRDefault="00CE6045" w:rsidP="00CE6045">
      <w:pPr>
        <w:pStyle w:val="Sansinterligne"/>
        <w:numPr>
          <w:ilvl w:val="0"/>
          <w:numId w:val="17"/>
        </w:numPr>
        <w:jc w:val="both"/>
      </w:pPr>
      <w:r>
        <w:t>Groupements d’Intérêt Public</w:t>
      </w:r>
    </w:p>
    <w:p w14:paraId="3AF251DF" w14:textId="77777777" w:rsidR="00CE6045" w:rsidRDefault="00CE6045" w:rsidP="00CE6045">
      <w:pPr>
        <w:pStyle w:val="Sansinterligne"/>
        <w:numPr>
          <w:ilvl w:val="0"/>
          <w:numId w:val="17"/>
        </w:numPr>
        <w:jc w:val="both"/>
      </w:pPr>
      <w:r>
        <w:t xml:space="preserve">Universités </w:t>
      </w:r>
    </w:p>
    <w:p w14:paraId="7D3BB957" w14:textId="77777777" w:rsidR="00CE6045" w:rsidRDefault="00CE6045" w:rsidP="00CE6045">
      <w:pPr>
        <w:pStyle w:val="Sansinterligne"/>
        <w:jc w:val="both"/>
      </w:pPr>
    </w:p>
    <w:p w14:paraId="77423CEE" w14:textId="77777777" w:rsidR="00CE6045" w:rsidRDefault="00CE6045" w:rsidP="00CE6045">
      <w:pPr>
        <w:pStyle w:val="Sansinterligne"/>
        <w:shd w:val="clear" w:color="auto" w:fill="C5F0FF"/>
        <w:jc w:val="both"/>
        <w:rPr>
          <w:b/>
          <w:bCs/>
          <w:color w:val="002060"/>
          <w:sz w:val="28"/>
          <w:szCs w:val="28"/>
        </w:rPr>
      </w:pPr>
      <w:r w:rsidRPr="002C70D5">
        <w:rPr>
          <w:b/>
          <w:bCs/>
          <w:color w:val="FFFFFF" w:themeColor="background1"/>
          <w:sz w:val="28"/>
          <w:szCs w:val="28"/>
          <w:shd w:val="clear" w:color="auto" w:fill="0099CC"/>
        </w:rPr>
        <w:t>O</w:t>
      </w:r>
      <w:r w:rsidRPr="002C70D5">
        <w:rPr>
          <w:rFonts w:cstheme="minorHAnsi"/>
          <w:b/>
          <w:bCs/>
          <w:color w:val="FFFFFF" w:themeColor="background1"/>
          <w:sz w:val="28"/>
          <w:szCs w:val="28"/>
          <w:shd w:val="clear" w:color="auto" w:fill="0099CC"/>
        </w:rPr>
        <w:t>Ù</w:t>
      </w:r>
      <w:r w:rsidRPr="002C70D5">
        <w:rPr>
          <w:b/>
          <w:bCs/>
          <w:color w:val="FFFFFF" w:themeColor="background1"/>
          <w:sz w:val="28"/>
          <w:szCs w:val="28"/>
          <w:shd w:val="clear" w:color="auto" w:fill="0099CC"/>
        </w:rPr>
        <w:t> ?</w:t>
      </w:r>
      <w:r w:rsidRPr="002C70D5">
        <w:rPr>
          <w:b/>
          <w:bCs/>
          <w:sz w:val="28"/>
          <w:szCs w:val="28"/>
          <w:shd w:val="clear" w:color="auto" w:fill="0099CC"/>
        </w:rPr>
        <w:t xml:space="preserve"> </w:t>
      </w:r>
      <w:r w:rsidRPr="002C70D5">
        <w:rPr>
          <w:b/>
          <w:bCs/>
          <w:sz w:val="28"/>
          <w:szCs w:val="28"/>
        </w:rPr>
        <w:t xml:space="preserve"> </w:t>
      </w:r>
      <w:r w:rsidRPr="002C70D5">
        <w:rPr>
          <w:b/>
          <w:bCs/>
          <w:color w:val="002060"/>
          <w:sz w:val="28"/>
          <w:szCs w:val="28"/>
        </w:rPr>
        <w:t>Territoires cibles</w:t>
      </w:r>
    </w:p>
    <w:p w14:paraId="43288041" w14:textId="77777777" w:rsidR="00CE6045" w:rsidRDefault="00CE6045" w:rsidP="00CE6045">
      <w:pPr>
        <w:pStyle w:val="Sansinterligne"/>
        <w:jc w:val="both"/>
      </w:pPr>
    </w:p>
    <w:p w14:paraId="03CD18F4" w14:textId="77777777" w:rsidR="00CE6045" w:rsidRDefault="00CE6045" w:rsidP="00CE6045">
      <w:pPr>
        <w:pStyle w:val="Sansinterligne"/>
        <w:jc w:val="both"/>
      </w:pPr>
      <w:r>
        <w:t>Région Centre-Val de Loire</w:t>
      </w:r>
    </w:p>
    <w:p w14:paraId="6E430C39" w14:textId="77777777" w:rsidR="00CE6045" w:rsidRDefault="00CE6045" w:rsidP="00CE6045">
      <w:pPr>
        <w:pStyle w:val="Sansinterligne"/>
        <w:jc w:val="both"/>
      </w:pPr>
    </w:p>
    <w:p w14:paraId="1D38E0C5" w14:textId="77777777" w:rsidR="00CE6045" w:rsidRPr="002C70D5" w:rsidRDefault="00CE6045" w:rsidP="00CE6045">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Critères de sélection des projets</w:t>
      </w:r>
    </w:p>
    <w:p w14:paraId="2A1394FF" w14:textId="77777777" w:rsidR="00CE6045" w:rsidRDefault="00CE6045" w:rsidP="00CE6045">
      <w:pPr>
        <w:pStyle w:val="Sansinterligne"/>
        <w:jc w:val="both"/>
      </w:pPr>
    </w:p>
    <w:p w14:paraId="4C47D3A7" w14:textId="77777777" w:rsidR="00CE6045" w:rsidRDefault="00CE6045" w:rsidP="00CE6045">
      <w:pPr>
        <w:pStyle w:val="Sansinterligne"/>
      </w:pPr>
      <w:r w:rsidRPr="00254FFD">
        <w:t>Le FEDER soutiendra :</w:t>
      </w:r>
    </w:p>
    <w:p w14:paraId="7A8F7F69" w14:textId="77777777" w:rsidR="00CE6045" w:rsidRPr="00254FFD" w:rsidRDefault="00CE6045" w:rsidP="00CE6045">
      <w:pPr>
        <w:pStyle w:val="Sansinterligne"/>
        <w:numPr>
          <w:ilvl w:val="0"/>
          <w:numId w:val="11"/>
        </w:numPr>
        <w:jc w:val="both"/>
      </w:pPr>
      <w:r w:rsidRPr="00254FFD">
        <w:t>Les initiatives (tiers lieux, communautés, centres de ressources, animation…) favorisant l’innovation, les projets collaboratifs, et l’inclusion numérique.</w:t>
      </w:r>
    </w:p>
    <w:p w14:paraId="6E17E5DD" w14:textId="77777777" w:rsidR="00CE6045" w:rsidRPr="00254FFD" w:rsidRDefault="00CE6045" w:rsidP="00CE6045">
      <w:pPr>
        <w:pStyle w:val="Sansinterligne"/>
        <w:jc w:val="both"/>
      </w:pPr>
    </w:p>
    <w:p w14:paraId="25DA3FE8" w14:textId="77777777" w:rsidR="00CE6045" w:rsidRPr="00254FFD" w:rsidRDefault="00CE6045" w:rsidP="00CE6045">
      <w:pPr>
        <w:pStyle w:val="Sansinterligne"/>
        <w:jc w:val="both"/>
      </w:pPr>
      <w:r w:rsidRPr="00254FFD">
        <w:t xml:space="preserve">Ne seront pas soutenus : </w:t>
      </w:r>
    </w:p>
    <w:p w14:paraId="40D25B0F" w14:textId="77777777" w:rsidR="00CE6045" w:rsidRPr="00254FFD" w:rsidRDefault="00CE6045" w:rsidP="00CE6045">
      <w:pPr>
        <w:pStyle w:val="Sansinterligne"/>
        <w:numPr>
          <w:ilvl w:val="0"/>
          <w:numId w:val="11"/>
        </w:numPr>
        <w:jc w:val="both"/>
      </w:pPr>
      <w:r w:rsidRPr="00254FFD">
        <w:t>Les coûts de déploiement des systèmes informatiques, ni des équipements de télétravail,  </w:t>
      </w:r>
    </w:p>
    <w:p w14:paraId="60FC15A1" w14:textId="77777777" w:rsidR="00CE6045" w:rsidRPr="00254FFD" w:rsidRDefault="00CE6045" w:rsidP="00CE6045">
      <w:pPr>
        <w:pStyle w:val="Sansinterligne"/>
        <w:numPr>
          <w:ilvl w:val="0"/>
          <w:numId w:val="11"/>
        </w:numPr>
        <w:jc w:val="both"/>
      </w:pPr>
      <w:r w:rsidRPr="00254FFD">
        <w:t>Les actions de formations numériques</w:t>
      </w:r>
    </w:p>
    <w:p w14:paraId="41D6B0C2" w14:textId="77777777" w:rsidR="00CE6045" w:rsidRDefault="00CE6045" w:rsidP="00CE6045">
      <w:pPr>
        <w:pStyle w:val="Sansinterligne"/>
        <w:jc w:val="both"/>
      </w:pPr>
    </w:p>
    <w:p w14:paraId="6447D233" w14:textId="77777777" w:rsidR="00CE6045" w:rsidRPr="002C70D5" w:rsidRDefault="00CE6045" w:rsidP="00CE6045">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Modalités de dépôt</w:t>
      </w:r>
    </w:p>
    <w:p w14:paraId="3257D28F" w14:textId="77777777" w:rsidR="00CE6045" w:rsidRDefault="00CE6045" w:rsidP="00CE6045">
      <w:pPr>
        <w:pStyle w:val="Sansinterligne"/>
        <w:jc w:val="both"/>
      </w:pPr>
    </w:p>
    <w:p w14:paraId="6E357E3B" w14:textId="77777777" w:rsidR="00CE6045" w:rsidRDefault="00CE6045" w:rsidP="00CE6045">
      <w:pPr>
        <w:pStyle w:val="Sansinterligne"/>
        <w:jc w:val="both"/>
      </w:pPr>
      <w:r>
        <w:t>Guichet (au fil de l’eau) ou Appel à projets (</w:t>
      </w:r>
      <w:r w:rsidRPr="0056544B">
        <w:t>pour les tiers lieux</w:t>
      </w:r>
      <w:r>
        <w:t>)</w:t>
      </w:r>
    </w:p>
    <w:p w14:paraId="153885D0" w14:textId="77777777" w:rsidR="00CE6045" w:rsidRDefault="00CE6045" w:rsidP="00CE6045">
      <w:pPr>
        <w:pStyle w:val="Sansinterligne"/>
        <w:jc w:val="both"/>
      </w:pPr>
    </w:p>
    <w:p w14:paraId="34723117" w14:textId="77777777" w:rsidR="00CE6045" w:rsidRPr="002C70D5" w:rsidRDefault="00CE6045" w:rsidP="00CE6045">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Conditions favorisantes</w:t>
      </w:r>
    </w:p>
    <w:p w14:paraId="1BD1FF7F" w14:textId="77777777" w:rsidR="00CE6045" w:rsidRDefault="00CE6045" w:rsidP="00CE6045">
      <w:pPr>
        <w:pStyle w:val="Sansinterligne"/>
        <w:jc w:val="both"/>
      </w:pPr>
    </w:p>
    <w:p w14:paraId="62437131" w14:textId="77777777" w:rsidR="00CE6045" w:rsidRDefault="00CE6045" w:rsidP="00CE6045">
      <w:pPr>
        <w:pStyle w:val="Sansinterligne"/>
        <w:jc w:val="both"/>
      </w:pPr>
      <w:r>
        <w:t>1.2 Plan national ou régional pour le haut débit</w:t>
      </w:r>
    </w:p>
    <w:p w14:paraId="505A5EA2" w14:textId="77777777" w:rsidR="00CE6045" w:rsidRDefault="00CE6045" w:rsidP="00CE6045">
      <w:pPr>
        <w:pStyle w:val="Sansinterligne"/>
        <w:jc w:val="both"/>
      </w:pPr>
    </w:p>
    <w:p w14:paraId="35ED5407" w14:textId="77777777" w:rsidR="00CE6045" w:rsidRPr="002C70D5" w:rsidRDefault="00CE6045" w:rsidP="00CE6045">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lastRenderedPageBreak/>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Principes horizontaux</w:t>
      </w:r>
    </w:p>
    <w:p w14:paraId="6CBD6EF3" w14:textId="77777777" w:rsidR="00CE6045" w:rsidRDefault="00CE6045" w:rsidP="00CE6045">
      <w:pPr>
        <w:pStyle w:val="Sansinterligne"/>
        <w:jc w:val="both"/>
      </w:pPr>
    </w:p>
    <w:p w14:paraId="3A565B63" w14:textId="77777777" w:rsidR="00CE6045" w:rsidRPr="009325D3" w:rsidRDefault="00CE6045" w:rsidP="00CE6045">
      <w:pPr>
        <w:pStyle w:val="Sansinterligne"/>
        <w:jc w:val="both"/>
        <w:rPr>
          <w:rFonts w:ascii="Calibri" w:hAnsi="Calibri" w:cs="Calibri"/>
        </w:rPr>
      </w:pPr>
      <w:r w:rsidRPr="009325D3">
        <w:rPr>
          <w:rFonts w:ascii="Calibri" w:eastAsia="Times New Roman" w:hAnsi="Calibri" w:cs="Calibri"/>
          <w:lang w:eastAsia="fr-FR"/>
        </w:rPr>
        <w:t>Les opérations financées doivent être en cohérence avec les principes horizontaux suivants : égalité des chances, non-discrimination, égalité entre les hommes et les femmes, développement durable</w:t>
      </w:r>
      <w:r>
        <w:rPr>
          <w:rFonts w:ascii="Calibri" w:eastAsia="Times New Roman" w:hAnsi="Calibri" w:cs="Calibri"/>
          <w:lang w:eastAsia="fr-FR"/>
        </w:rPr>
        <w:t>, accessibilité aux personnes en situation de handicap et Charte des droits fondamentaux de l’UE</w:t>
      </w:r>
      <w:r w:rsidRPr="009325D3">
        <w:rPr>
          <w:rFonts w:ascii="Calibri" w:eastAsia="Times New Roman" w:hAnsi="Calibri" w:cs="Calibri"/>
          <w:lang w:eastAsia="fr-FR"/>
        </w:rPr>
        <w:t>.</w:t>
      </w:r>
    </w:p>
    <w:p w14:paraId="1DFCA93A" w14:textId="77777777" w:rsidR="00CE6045" w:rsidRDefault="00CE6045" w:rsidP="00CE6045">
      <w:pPr>
        <w:pStyle w:val="Sansinterligne"/>
        <w:jc w:val="both"/>
      </w:pPr>
    </w:p>
    <w:p w14:paraId="00F4DBC2" w14:textId="77777777" w:rsidR="00CE6045" w:rsidRDefault="00CE6045" w:rsidP="00CE6045">
      <w:pPr>
        <w:pStyle w:val="Sansinterligne"/>
        <w:jc w:val="both"/>
      </w:pPr>
    </w:p>
    <w:p w14:paraId="4C9F521B" w14:textId="77777777" w:rsidR="00CE6045" w:rsidRPr="002C70D5" w:rsidRDefault="00CE6045" w:rsidP="00CE6045">
      <w:pPr>
        <w:pStyle w:val="Sansinterligne"/>
        <w:shd w:val="clear" w:color="auto" w:fill="FBE4D5" w:themeFill="accent2" w:themeFillTint="33"/>
        <w:jc w:val="both"/>
        <w:rPr>
          <w:b/>
          <w:bCs/>
          <w:sz w:val="28"/>
          <w:szCs w:val="28"/>
        </w:rPr>
      </w:pPr>
      <w:r w:rsidRPr="00DB5B1E">
        <w:rPr>
          <w:b/>
          <w:bCs/>
          <w:color w:val="FFFFFF" w:themeColor="background1"/>
          <w:sz w:val="28"/>
          <w:szCs w:val="28"/>
          <w:shd w:val="clear" w:color="auto" w:fill="ED7D31" w:themeFill="accent2"/>
        </w:rPr>
        <w:t>QUEL</w:t>
      </w:r>
      <w:r>
        <w:rPr>
          <w:b/>
          <w:bCs/>
          <w:color w:val="FFFFFF" w:themeColor="background1"/>
          <w:sz w:val="28"/>
          <w:szCs w:val="28"/>
          <w:shd w:val="clear" w:color="auto" w:fill="ED7D31" w:themeFill="accent2"/>
        </w:rPr>
        <w:t>LES CONDITIONS</w:t>
      </w:r>
      <w:r w:rsidRPr="00DB5B1E">
        <w:rPr>
          <w:b/>
          <w:bCs/>
          <w:color w:val="FFFFFF" w:themeColor="background1"/>
          <w:sz w:val="28"/>
          <w:szCs w:val="28"/>
          <w:shd w:val="clear" w:color="auto" w:fill="ED7D31" w:themeFill="accent2"/>
        </w:rPr>
        <w:t xml:space="preserve"> ?</w:t>
      </w:r>
      <w:r w:rsidRPr="00DB5B1E">
        <w:rPr>
          <w:b/>
          <w:bCs/>
          <w:sz w:val="28"/>
          <w:szCs w:val="28"/>
          <w:shd w:val="clear" w:color="auto" w:fill="ED7D31" w:themeFill="accent2"/>
        </w:rPr>
        <w:t xml:space="preserve"> </w:t>
      </w:r>
      <w:r>
        <w:rPr>
          <w:b/>
          <w:bCs/>
          <w:sz w:val="28"/>
          <w:szCs w:val="28"/>
        </w:rPr>
        <w:t xml:space="preserve"> </w:t>
      </w:r>
      <w:r>
        <w:rPr>
          <w:b/>
          <w:bCs/>
          <w:color w:val="002060"/>
          <w:sz w:val="28"/>
          <w:szCs w:val="28"/>
        </w:rPr>
        <w:t>Respect des règles européennes</w:t>
      </w:r>
    </w:p>
    <w:p w14:paraId="171DAB3B" w14:textId="77777777" w:rsidR="00CE6045" w:rsidRDefault="00CE6045" w:rsidP="00CE6045">
      <w:pPr>
        <w:pStyle w:val="Sansinterligne"/>
        <w:jc w:val="both"/>
      </w:pPr>
    </w:p>
    <w:p w14:paraId="683EB812" w14:textId="77777777" w:rsidR="00CE6045" w:rsidRPr="00C57CAD" w:rsidRDefault="00CE6045" w:rsidP="00CE6045">
      <w:pPr>
        <w:pStyle w:val="Sansinterligne"/>
        <w:jc w:val="both"/>
        <w:rPr>
          <w:b/>
          <w:bCs/>
          <w:color w:val="002060"/>
        </w:rPr>
      </w:pPr>
      <w:r w:rsidRPr="00C57CAD">
        <w:rPr>
          <w:b/>
          <w:bCs/>
          <w:color w:val="002060"/>
        </w:rPr>
        <w:t xml:space="preserve">Régimes d’aides d’état notamment mobilisables :  </w:t>
      </w:r>
    </w:p>
    <w:p w14:paraId="492868E0" w14:textId="77777777" w:rsidR="00CE6045" w:rsidRDefault="00CE6045" w:rsidP="00CE6045">
      <w:pPr>
        <w:pStyle w:val="Sansinterligne"/>
        <w:numPr>
          <w:ilvl w:val="0"/>
          <w:numId w:val="1"/>
        </w:numPr>
        <w:jc w:val="both"/>
      </w:pPr>
      <w: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2E4C2727" w14:textId="77777777" w:rsidR="00CE6045" w:rsidRDefault="00CE6045" w:rsidP="00CE6045">
      <w:pPr>
        <w:pStyle w:val="Sansinterligne"/>
        <w:numPr>
          <w:ilvl w:val="0"/>
          <w:numId w:val="1"/>
        </w:numPr>
        <w:jc w:val="both"/>
      </w:pPr>
      <w:r>
        <w:t xml:space="preserve">Règlement (UE) n° 1407/2013 de la commission du 18 décembre 2013 relatif à l’application des articles 107 et 108 du traité sur le fonctionnement de l’Union européenne aux aides de minimis ; </w:t>
      </w:r>
    </w:p>
    <w:p w14:paraId="3A86CB79" w14:textId="77777777" w:rsidR="00CE6045" w:rsidRDefault="00CE6045" w:rsidP="00CE6045">
      <w:pPr>
        <w:pStyle w:val="Sansinterligne"/>
        <w:numPr>
          <w:ilvl w:val="0"/>
          <w:numId w:val="1"/>
        </w:numPr>
        <w:jc w:val="both"/>
      </w:pPr>
      <w: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6038C5A9" w14:textId="77777777" w:rsidR="00CE6045" w:rsidRDefault="00CE6045" w:rsidP="00CE6045">
      <w:pPr>
        <w:pStyle w:val="Sansinterligne"/>
        <w:numPr>
          <w:ilvl w:val="0"/>
          <w:numId w:val="1"/>
        </w:numPr>
        <w:jc w:val="both"/>
      </w:pPr>
      <w:r>
        <w:t>Communication de la Commission relative à la notion d’« aide d'État» visée à l'article 107, paragraphe 1, du traité sur le fonctionnement de l'Union européenne, C/2016/2946, OJ C 262, 19.7.2016, p. 1–50 .</w:t>
      </w:r>
    </w:p>
    <w:p w14:paraId="7D03C307" w14:textId="77777777" w:rsidR="00CE6045" w:rsidRDefault="00CE6045" w:rsidP="00CE6045">
      <w:pPr>
        <w:pStyle w:val="Sansinterligne"/>
        <w:jc w:val="both"/>
      </w:pPr>
      <w:r>
        <w:t xml:space="preserve">  </w:t>
      </w:r>
    </w:p>
    <w:p w14:paraId="145DCD32" w14:textId="77777777" w:rsidR="00CE6045" w:rsidRPr="00C57CAD" w:rsidRDefault="00CE6045" w:rsidP="00CE6045">
      <w:pPr>
        <w:pStyle w:val="Sansinterligne"/>
        <w:jc w:val="both"/>
        <w:rPr>
          <w:b/>
          <w:bCs/>
          <w:color w:val="002060"/>
        </w:rPr>
      </w:pPr>
      <w:r w:rsidRPr="00C57CAD">
        <w:rPr>
          <w:b/>
          <w:bCs/>
          <w:color w:val="002060"/>
        </w:rPr>
        <w:t xml:space="preserve">Eligibilité des dépenses : </w:t>
      </w:r>
    </w:p>
    <w:p w14:paraId="6D95AF22" w14:textId="77777777" w:rsidR="00CE6045" w:rsidRDefault="00CE6045" w:rsidP="00CE6045">
      <w:pPr>
        <w:pStyle w:val="Sansinterligne"/>
        <w:numPr>
          <w:ilvl w:val="0"/>
          <w:numId w:val="1"/>
        </w:numPr>
        <w:jc w:val="both"/>
      </w:pPr>
      <w:r>
        <w:t>Règlement (UE, Euratom) n°2018/1046 relatif aux règles financières applicables au budget général de l’Union, dit Omnibus ;</w:t>
      </w:r>
    </w:p>
    <w:p w14:paraId="226C9F7E" w14:textId="77777777" w:rsidR="00CE6045" w:rsidRPr="00054021" w:rsidRDefault="00CE6045" w:rsidP="00CE6045">
      <w:pPr>
        <w:pStyle w:val="Sansinterligne"/>
        <w:numPr>
          <w:ilvl w:val="0"/>
          <w:numId w:val="1"/>
        </w:numPr>
        <w:jc w:val="both"/>
        <w:rPr>
          <w:color w:val="000000" w:themeColor="text1"/>
        </w:rPr>
      </w:pPr>
      <w:r>
        <w:t xml:space="preserve">Décret </w:t>
      </w:r>
      <w:r w:rsidRPr="003B42C2">
        <w:t xml:space="preserve">n°2022-608 du 21 avril 2022 </w:t>
      </w:r>
      <w:r w:rsidRPr="00054021">
        <w:rPr>
          <w:color w:val="000000" w:themeColor="text1"/>
        </w:rPr>
        <w:t xml:space="preserve">fixant les règles nationales d’éligibilité des dépenses dans le cadre des programmes cofinancés par les fonds européens structurels et d’investissement (FEDER, FSE +, FEADER, FEAMP) pour la période 2021-2027 ; </w:t>
      </w:r>
    </w:p>
    <w:p w14:paraId="3C2F6D3B" w14:textId="77777777" w:rsidR="00CE6045" w:rsidRDefault="00CE6045" w:rsidP="00CE6045">
      <w:pPr>
        <w:pStyle w:val="Sansinterligne"/>
        <w:jc w:val="both"/>
      </w:pPr>
      <w:r>
        <w:t xml:space="preserve">  </w:t>
      </w:r>
    </w:p>
    <w:p w14:paraId="027E3CB7" w14:textId="77777777" w:rsidR="00CE6045" w:rsidRPr="00C57CAD" w:rsidRDefault="00CE6045" w:rsidP="00CE6045">
      <w:pPr>
        <w:pStyle w:val="Sansinterligne"/>
        <w:jc w:val="both"/>
        <w:rPr>
          <w:b/>
          <w:bCs/>
          <w:color w:val="002060"/>
        </w:rPr>
      </w:pPr>
      <w:r w:rsidRPr="00C57CAD">
        <w:rPr>
          <w:b/>
          <w:bCs/>
          <w:color w:val="002060"/>
        </w:rPr>
        <w:t xml:space="preserve">Commande publique : </w:t>
      </w:r>
    </w:p>
    <w:p w14:paraId="3FEBE883" w14:textId="77777777" w:rsidR="00CE6045" w:rsidRDefault="00CE6045" w:rsidP="00CE6045">
      <w:pPr>
        <w:pStyle w:val="Sansinterligne"/>
        <w:numPr>
          <w:ilvl w:val="0"/>
          <w:numId w:val="1"/>
        </w:numPr>
        <w:jc w:val="both"/>
      </w:pPr>
      <w:r>
        <w:t xml:space="preserve">Code de la Commande Publique ; </w:t>
      </w:r>
    </w:p>
    <w:p w14:paraId="5843ADA0" w14:textId="77777777" w:rsidR="00CE6045" w:rsidRDefault="00CE6045" w:rsidP="00CE6045">
      <w:pPr>
        <w:pStyle w:val="Sansinterligne"/>
        <w:numPr>
          <w:ilvl w:val="0"/>
          <w:numId w:val="1"/>
        </w:numPr>
        <w:jc w:val="both"/>
      </w:pPr>
      <w:r>
        <w:t xml:space="preserve">Ordonnance n°2018-1074 du 26 novembre 2018 relative aux marchés publics ;  </w:t>
      </w:r>
    </w:p>
    <w:p w14:paraId="3768C145" w14:textId="77777777" w:rsidR="00CE6045" w:rsidRDefault="00CE6045" w:rsidP="00CE6045">
      <w:pPr>
        <w:pStyle w:val="Sansinterligne"/>
        <w:numPr>
          <w:ilvl w:val="0"/>
          <w:numId w:val="1"/>
        </w:numPr>
        <w:jc w:val="both"/>
      </w:pPr>
      <w:r>
        <w:t>Décret n°2018-1075 du 3 décembre 2018 relatif aux marchés publics.</w:t>
      </w:r>
    </w:p>
    <w:p w14:paraId="48CB4E5B" w14:textId="77777777" w:rsidR="00CE6045" w:rsidRDefault="00CE6045" w:rsidP="00CE6045">
      <w:pPr>
        <w:pStyle w:val="Sansinterligne"/>
        <w:jc w:val="both"/>
      </w:pPr>
    </w:p>
    <w:p w14:paraId="3A89CE2E" w14:textId="77777777" w:rsidR="00CE6045" w:rsidRPr="002C70D5" w:rsidRDefault="00CE6045" w:rsidP="00CE6045">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sidRPr="002C70D5">
        <w:rPr>
          <w:b/>
          <w:bCs/>
          <w:color w:val="002060"/>
          <w:sz w:val="28"/>
          <w:szCs w:val="28"/>
        </w:rPr>
        <w:t>Dépenses éligibles</w:t>
      </w:r>
    </w:p>
    <w:p w14:paraId="53B77B60" w14:textId="77777777" w:rsidR="00CE6045" w:rsidRDefault="00CE6045" w:rsidP="00CE6045">
      <w:pPr>
        <w:pStyle w:val="Sansinterligne"/>
        <w:jc w:val="both"/>
      </w:pPr>
    </w:p>
    <w:p w14:paraId="4104E259" w14:textId="77777777" w:rsidR="00CE6045" w:rsidRPr="00B0450C" w:rsidRDefault="00CE6045" w:rsidP="00CE6045">
      <w:pPr>
        <w:pStyle w:val="Sansinterligne"/>
        <w:numPr>
          <w:ilvl w:val="0"/>
          <w:numId w:val="11"/>
        </w:numPr>
        <w:ind w:right="-141"/>
        <w:jc w:val="both"/>
        <w:rPr>
          <w:b/>
          <w:bCs/>
        </w:rPr>
      </w:pPr>
      <w:r>
        <w:t xml:space="preserve">Dépenses d’investissement, d’équipement </w:t>
      </w:r>
      <w:bookmarkStart w:id="2" w:name="_Hlk156392270"/>
      <w:r w:rsidRPr="00B0450C">
        <w:rPr>
          <w:b/>
          <w:bCs/>
        </w:rPr>
        <w:t>(hors petit équipement, renouvellement de matériel informatique)</w:t>
      </w:r>
      <w:bookmarkEnd w:id="2"/>
      <w:r>
        <w:t>,</w:t>
      </w:r>
    </w:p>
    <w:p w14:paraId="736C4D51" w14:textId="77777777" w:rsidR="00CE6045" w:rsidRDefault="00CE6045" w:rsidP="00CE6045">
      <w:pPr>
        <w:pStyle w:val="Sansinterligne"/>
        <w:numPr>
          <w:ilvl w:val="0"/>
          <w:numId w:val="12"/>
        </w:numPr>
        <w:jc w:val="both"/>
      </w:pPr>
      <w:r>
        <w:t>Dépenses de personnel dédiés à l’opération,</w:t>
      </w:r>
    </w:p>
    <w:p w14:paraId="1CDF063A" w14:textId="77777777" w:rsidR="00CE6045" w:rsidRDefault="00CE6045" w:rsidP="00CE6045">
      <w:pPr>
        <w:pStyle w:val="Sansinterligne"/>
        <w:numPr>
          <w:ilvl w:val="0"/>
          <w:numId w:val="12"/>
        </w:numPr>
        <w:jc w:val="both"/>
      </w:pPr>
      <w:r>
        <w:t>Dépenses de prestations externes,</w:t>
      </w:r>
    </w:p>
    <w:p w14:paraId="32FEA4D4" w14:textId="77777777" w:rsidR="00CE6045" w:rsidRPr="005B2221" w:rsidRDefault="00CE6045" w:rsidP="00CE6045">
      <w:pPr>
        <w:pStyle w:val="Paragraphedeliste"/>
        <w:numPr>
          <w:ilvl w:val="0"/>
          <w:numId w:val="12"/>
        </w:numPr>
        <w:spacing w:after="0"/>
        <w:ind w:left="714" w:hanging="357"/>
        <w:rPr>
          <w:rFonts w:asciiTheme="minorHAnsi" w:hAnsiTheme="minorHAnsi"/>
          <w:sz w:val="22"/>
        </w:rPr>
      </w:pPr>
      <w:r w:rsidRPr="005B2221">
        <w:rPr>
          <w:rFonts w:asciiTheme="minorHAnsi" w:hAnsiTheme="minorHAnsi"/>
          <w:sz w:val="22"/>
        </w:rPr>
        <w:t xml:space="preserve">Coûts indirects (non pris en compte en dépenses directes) mis en œuvre via des options de coûts simplifiés </w:t>
      </w:r>
    </w:p>
    <w:p w14:paraId="6E0636F9" w14:textId="77777777" w:rsidR="00CE6045" w:rsidRDefault="00CE6045" w:rsidP="00CE6045">
      <w:pPr>
        <w:pStyle w:val="Sansinterligne"/>
        <w:numPr>
          <w:ilvl w:val="0"/>
          <w:numId w:val="12"/>
        </w:numPr>
        <w:jc w:val="both"/>
      </w:pPr>
      <w:r>
        <w:t>Dépenses de communication de l’opération.</w:t>
      </w:r>
    </w:p>
    <w:p w14:paraId="7F77E61D" w14:textId="77777777" w:rsidR="00CE6045" w:rsidRPr="00B0450C" w:rsidRDefault="00CE6045" w:rsidP="00CE6045">
      <w:pPr>
        <w:pStyle w:val="Sansinterligne"/>
        <w:numPr>
          <w:ilvl w:val="0"/>
          <w:numId w:val="12"/>
        </w:numPr>
        <w:jc w:val="both"/>
      </w:pPr>
      <w:r w:rsidRPr="00B0450C">
        <w:rPr>
          <w:b/>
          <w:bCs/>
        </w:rPr>
        <w:t>Pour les actions d’animation :</w:t>
      </w:r>
      <w:r w:rsidRPr="00B0450C">
        <w:t xml:space="preserve"> dépenses de fonctionnement directes (y compris les dépenses de déplacements, restauration, hébergement) mises en œuvre via des options de coûts simplifiés</w:t>
      </w:r>
    </w:p>
    <w:p w14:paraId="35C3E9E3" w14:textId="77777777" w:rsidR="00CE6045" w:rsidRDefault="00CE6045" w:rsidP="00CE6045">
      <w:pPr>
        <w:pStyle w:val="Sansinterligne"/>
        <w:ind w:firstLine="708"/>
        <w:jc w:val="both"/>
      </w:pPr>
    </w:p>
    <w:p w14:paraId="37F06CFA" w14:textId="77777777" w:rsidR="00CE6045" w:rsidRPr="002C70D5" w:rsidRDefault="00CE6045" w:rsidP="00CE6045">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Options de coûts simplifiés</w:t>
      </w:r>
    </w:p>
    <w:p w14:paraId="1D917F8D" w14:textId="77777777" w:rsidR="00CE6045" w:rsidRDefault="00CE6045" w:rsidP="00CE6045">
      <w:pPr>
        <w:pStyle w:val="Sansinterligne"/>
        <w:jc w:val="both"/>
      </w:pPr>
    </w:p>
    <w:tbl>
      <w:tblPr>
        <w:tblStyle w:val="Grilledutableau"/>
        <w:tblW w:w="10637" w:type="dxa"/>
        <w:tblInd w:w="-5" w:type="dxa"/>
        <w:tblLook w:val="04A0" w:firstRow="1" w:lastRow="0" w:firstColumn="1" w:lastColumn="0" w:noHBand="0" w:noVBand="1"/>
      </w:tblPr>
      <w:tblGrid>
        <w:gridCol w:w="284"/>
        <w:gridCol w:w="501"/>
        <w:gridCol w:w="8287"/>
        <w:gridCol w:w="1565"/>
      </w:tblGrid>
      <w:tr w:rsidR="00CE6045" w14:paraId="0D72A9D7" w14:textId="77777777" w:rsidTr="00F65C73">
        <w:tc>
          <w:tcPr>
            <w:tcW w:w="785" w:type="dxa"/>
            <w:gridSpan w:val="2"/>
            <w:tcBorders>
              <w:top w:val="nil"/>
              <w:left w:val="nil"/>
              <w:right w:val="nil"/>
            </w:tcBorders>
          </w:tcPr>
          <w:p w14:paraId="71D6F7B2" w14:textId="77777777" w:rsidR="00CE6045" w:rsidRDefault="00CE6045" w:rsidP="00F65C73">
            <w:pPr>
              <w:pStyle w:val="Sansinterligne"/>
              <w:jc w:val="both"/>
            </w:pPr>
          </w:p>
        </w:tc>
        <w:tc>
          <w:tcPr>
            <w:tcW w:w="8287" w:type="dxa"/>
            <w:tcBorders>
              <w:top w:val="nil"/>
              <w:left w:val="nil"/>
            </w:tcBorders>
            <w:vAlign w:val="center"/>
          </w:tcPr>
          <w:p w14:paraId="5EE95FB3" w14:textId="77777777" w:rsidR="00CE6045" w:rsidRPr="00903E4B" w:rsidRDefault="00CE6045" w:rsidP="00F65C73">
            <w:pPr>
              <w:pStyle w:val="Sansinterligne"/>
              <w:rPr>
                <w:b/>
                <w:bCs/>
                <w:color w:val="002060"/>
              </w:rPr>
            </w:pPr>
          </w:p>
        </w:tc>
        <w:tc>
          <w:tcPr>
            <w:tcW w:w="1565" w:type="dxa"/>
            <w:tcBorders>
              <w:left w:val="nil"/>
            </w:tcBorders>
            <w:vAlign w:val="center"/>
          </w:tcPr>
          <w:p w14:paraId="3A092F91" w14:textId="77777777" w:rsidR="00CE6045" w:rsidRPr="00903E4B" w:rsidRDefault="00CE6045" w:rsidP="00F65C73">
            <w:pPr>
              <w:pStyle w:val="Sansinterligne"/>
              <w:jc w:val="center"/>
              <w:rPr>
                <w:b/>
                <w:bCs/>
                <w:color w:val="002060"/>
              </w:rPr>
            </w:pPr>
            <w:r>
              <w:rPr>
                <w:b/>
                <w:bCs/>
                <w:color w:val="002060"/>
              </w:rPr>
              <w:t>Mobilisable sur l’action</w:t>
            </w:r>
          </w:p>
        </w:tc>
      </w:tr>
      <w:tr w:rsidR="00CE6045" w14:paraId="54535777" w14:textId="77777777" w:rsidTr="00F65C73">
        <w:tc>
          <w:tcPr>
            <w:tcW w:w="9072" w:type="dxa"/>
            <w:gridSpan w:val="3"/>
            <w:vAlign w:val="center"/>
          </w:tcPr>
          <w:p w14:paraId="02EA609F" w14:textId="77777777" w:rsidR="00CE6045" w:rsidRDefault="00CE6045" w:rsidP="00F65C73">
            <w:pPr>
              <w:pStyle w:val="Sansinterligne"/>
            </w:pPr>
            <w:r w:rsidRPr="00903E4B">
              <w:rPr>
                <w:b/>
                <w:bCs/>
                <w:color w:val="002060"/>
              </w:rPr>
              <w:t>Taux forfaitaires :</w:t>
            </w:r>
            <w:r w:rsidRPr="00903E4B">
              <w:rPr>
                <w:color w:val="002060"/>
              </w:rPr>
              <w:t xml:space="preserve"> </w:t>
            </w:r>
            <w:r>
              <w:t>obligatoire lorsque le coût total du projet est inférieur à 200 000 €</w:t>
            </w:r>
          </w:p>
        </w:tc>
        <w:tc>
          <w:tcPr>
            <w:tcW w:w="1565" w:type="dxa"/>
            <w:vAlign w:val="center"/>
          </w:tcPr>
          <w:p w14:paraId="74895A1F" w14:textId="77777777" w:rsidR="00CE6045" w:rsidRPr="00903E4B" w:rsidRDefault="00CE6045" w:rsidP="00F65C73">
            <w:pPr>
              <w:pStyle w:val="Sansinterligne"/>
              <w:jc w:val="center"/>
              <w:rPr>
                <w:b/>
                <w:bCs/>
                <w:color w:val="002060"/>
              </w:rPr>
            </w:pPr>
            <w:r>
              <w:rPr>
                <w:b/>
                <w:bCs/>
                <w:noProof/>
                <w:color w:val="002060"/>
              </w:rPr>
              <w:drawing>
                <wp:inline distT="0" distB="0" distL="0" distR="0" wp14:anchorId="3B62B163" wp14:editId="543BFA41">
                  <wp:extent cx="262393" cy="262393"/>
                  <wp:effectExtent l="0" t="0" r="4445" b="4445"/>
                  <wp:docPr id="784945853" name="Graphique 78494585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CE6045" w14:paraId="4773C619" w14:textId="77777777" w:rsidTr="00F65C73">
        <w:tc>
          <w:tcPr>
            <w:tcW w:w="284" w:type="dxa"/>
            <w:tcBorders>
              <w:right w:val="nil"/>
            </w:tcBorders>
          </w:tcPr>
          <w:p w14:paraId="1C4F58E8" w14:textId="77777777" w:rsidR="00CE6045" w:rsidRDefault="00CE6045" w:rsidP="00F65C73">
            <w:pPr>
              <w:pStyle w:val="Sansinterligne"/>
              <w:jc w:val="both"/>
            </w:pPr>
          </w:p>
        </w:tc>
        <w:tc>
          <w:tcPr>
            <w:tcW w:w="8788" w:type="dxa"/>
            <w:gridSpan w:val="2"/>
            <w:tcBorders>
              <w:left w:val="nil"/>
            </w:tcBorders>
            <w:vAlign w:val="center"/>
          </w:tcPr>
          <w:p w14:paraId="2B128C9B" w14:textId="77777777" w:rsidR="00CE6045" w:rsidRDefault="00CE6045" w:rsidP="00F65C73">
            <w:pPr>
              <w:pStyle w:val="Sansinterligne"/>
            </w:pPr>
            <w:r w:rsidRPr="00C57CAD">
              <w:rPr>
                <w:b/>
                <w:bCs/>
              </w:rPr>
              <w:t>Taux de 40% :</w:t>
            </w:r>
            <w:r>
              <w:t xml:space="preserve"> </w:t>
            </w:r>
            <w:r w:rsidRPr="00903E4B">
              <w:t>forfaitise les coûts hors frais directs de personnel dans la limite de 40% des coûts directs de personnel</w:t>
            </w:r>
          </w:p>
        </w:tc>
        <w:tc>
          <w:tcPr>
            <w:tcW w:w="1565" w:type="dxa"/>
            <w:vAlign w:val="center"/>
          </w:tcPr>
          <w:p w14:paraId="01A8E55D" w14:textId="77777777" w:rsidR="00CE6045" w:rsidRDefault="00CE6045" w:rsidP="00F65C73">
            <w:pPr>
              <w:pStyle w:val="Sansinterligne"/>
              <w:jc w:val="center"/>
            </w:pPr>
            <w:r>
              <w:rPr>
                <w:b/>
                <w:bCs/>
                <w:noProof/>
                <w:color w:val="002060"/>
              </w:rPr>
              <w:drawing>
                <wp:inline distT="0" distB="0" distL="0" distR="0" wp14:anchorId="1BFC80E8" wp14:editId="40EA1055">
                  <wp:extent cx="262393" cy="262393"/>
                  <wp:effectExtent l="0" t="0" r="4445" b="4445"/>
                  <wp:docPr id="784945854" name="Graphique 78494585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CE6045" w14:paraId="0581D6EF" w14:textId="77777777" w:rsidTr="00F65C73">
        <w:tc>
          <w:tcPr>
            <w:tcW w:w="284" w:type="dxa"/>
            <w:tcBorders>
              <w:right w:val="nil"/>
            </w:tcBorders>
          </w:tcPr>
          <w:p w14:paraId="3F839875" w14:textId="77777777" w:rsidR="00CE6045" w:rsidRDefault="00CE6045" w:rsidP="00F65C73">
            <w:pPr>
              <w:pStyle w:val="Sansinterligne"/>
              <w:jc w:val="both"/>
            </w:pPr>
          </w:p>
        </w:tc>
        <w:tc>
          <w:tcPr>
            <w:tcW w:w="8788" w:type="dxa"/>
            <w:gridSpan w:val="2"/>
            <w:tcBorders>
              <w:left w:val="nil"/>
            </w:tcBorders>
            <w:vAlign w:val="center"/>
          </w:tcPr>
          <w:p w14:paraId="367C8A9C" w14:textId="77777777" w:rsidR="00CE6045" w:rsidRDefault="00CE6045" w:rsidP="00F65C73">
            <w:pPr>
              <w:pStyle w:val="Sansinterligne"/>
            </w:pPr>
            <w:r w:rsidRPr="00C57CAD">
              <w:rPr>
                <w:b/>
                <w:bCs/>
              </w:rPr>
              <w:t>Taux de 15% :</w:t>
            </w:r>
            <w:r>
              <w:t xml:space="preserve"> </w:t>
            </w:r>
            <w:r w:rsidRPr="00903E4B">
              <w:t>forfaitise les coûts indirects dans la limite de 15% des coûts directs de personnel</w:t>
            </w:r>
          </w:p>
        </w:tc>
        <w:tc>
          <w:tcPr>
            <w:tcW w:w="1565" w:type="dxa"/>
            <w:vAlign w:val="center"/>
          </w:tcPr>
          <w:p w14:paraId="62DE4ECC" w14:textId="77777777" w:rsidR="00CE6045" w:rsidRDefault="00CE6045" w:rsidP="00F65C73">
            <w:pPr>
              <w:pStyle w:val="Sansinterligne"/>
              <w:jc w:val="center"/>
            </w:pPr>
            <w:r>
              <w:rPr>
                <w:b/>
                <w:bCs/>
                <w:noProof/>
                <w:color w:val="002060"/>
              </w:rPr>
              <w:drawing>
                <wp:inline distT="0" distB="0" distL="0" distR="0" wp14:anchorId="6E8174BA" wp14:editId="7767FA54">
                  <wp:extent cx="262393" cy="262393"/>
                  <wp:effectExtent l="0" t="0" r="4445" b="4445"/>
                  <wp:docPr id="784945855" name="Graphique 78494585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CE6045" w14:paraId="1417FA68" w14:textId="77777777" w:rsidTr="00F65C73">
        <w:tc>
          <w:tcPr>
            <w:tcW w:w="284" w:type="dxa"/>
            <w:tcBorders>
              <w:right w:val="nil"/>
            </w:tcBorders>
          </w:tcPr>
          <w:p w14:paraId="611F34BC" w14:textId="77777777" w:rsidR="00CE6045" w:rsidRDefault="00CE6045" w:rsidP="00F65C73">
            <w:pPr>
              <w:pStyle w:val="Sansinterligne"/>
              <w:jc w:val="both"/>
            </w:pPr>
          </w:p>
        </w:tc>
        <w:tc>
          <w:tcPr>
            <w:tcW w:w="8788" w:type="dxa"/>
            <w:gridSpan w:val="2"/>
            <w:tcBorders>
              <w:left w:val="nil"/>
            </w:tcBorders>
            <w:vAlign w:val="center"/>
          </w:tcPr>
          <w:p w14:paraId="05370D0E" w14:textId="77777777" w:rsidR="00CE6045" w:rsidRDefault="00CE6045" w:rsidP="00F65C73">
            <w:pPr>
              <w:pStyle w:val="Sansinterligne"/>
            </w:pPr>
            <w:r w:rsidRPr="00C57CAD">
              <w:rPr>
                <w:b/>
                <w:bCs/>
              </w:rPr>
              <w:t>Taux de 20% :</w:t>
            </w:r>
            <w:r>
              <w:t xml:space="preserve"> </w:t>
            </w:r>
            <w:r w:rsidRPr="00903E4B">
              <w:t>forfaitise les coûts de personnel directs dans la limite de 20% des coûts directs hors frais de personnel directs</w:t>
            </w:r>
          </w:p>
        </w:tc>
        <w:tc>
          <w:tcPr>
            <w:tcW w:w="1565" w:type="dxa"/>
            <w:vAlign w:val="center"/>
          </w:tcPr>
          <w:p w14:paraId="2BFC961F" w14:textId="77777777" w:rsidR="00CE6045" w:rsidRDefault="00CE6045" w:rsidP="00F65C73">
            <w:pPr>
              <w:pStyle w:val="Sansinterligne"/>
              <w:jc w:val="center"/>
            </w:pPr>
            <w:r>
              <w:rPr>
                <w:b/>
                <w:bCs/>
                <w:noProof/>
                <w:color w:val="002060"/>
              </w:rPr>
              <w:drawing>
                <wp:inline distT="0" distB="0" distL="0" distR="0" wp14:anchorId="6AFB64F8" wp14:editId="495D730E">
                  <wp:extent cx="262393" cy="262393"/>
                  <wp:effectExtent l="0" t="0" r="4445" b="4445"/>
                  <wp:docPr id="784945856" name="Graphique 78494585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CE6045" w14:paraId="6063FD82" w14:textId="77777777" w:rsidTr="00F65C73">
        <w:tc>
          <w:tcPr>
            <w:tcW w:w="284" w:type="dxa"/>
            <w:tcBorders>
              <w:right w:val="nil"/>
            </w:tcBorders>
          </w:tcPr>
          <w:p w14:paraId="76EE24C5" w14:textId="77777777" w:rsidR="00CE6045" w:rsidRDefault="00CE6045" w:rsidP="00F65C73">
            <w:pPr>
              <w:pStyle w:val="Sansinterligne"/>
              <w:jc w:val="both"/>
            </w:pPr>
          </w:p>
        </w:tc>
        <w:tc>
          <w:tcPr>
            <w:tcW w:w="8788" w:type="dxa"/>
            <w:gridSpan w:val="2"/>
            <w:tcBorders>
              <w:left w:val="nil"/>
            </w:tcBorders>
            <w:vAlign w:val="center"/>
          </w:tcPr>
          <w:p w14:paraId="2905943A" w14:textId="77777777" w:rsidR="00CE6045" w:rsidRDefault="00CE6045" w:rsidP="00F65C73">
            <w:pPr>
              <w:pStyle w:val="Sansinterligne"/>
            </w:pPr>
            <w:r w:rsidRPr="00C57CAD">
              <w:rPr>
                <w:b/>
                <w:bCs/>
              </w:rPr>
              <w:t>Taux de 7% :</w:t>
            </w:r>
            <w:r>
              <w:t xml:space="preserve"> </w:t>
            </w:r>
            <w:r w:rsidRPr="00903E4B">
              <w:t>forfaitise les coûts indirects dans la limite de 7% des coûts directs</w:t>
            </w:r>
          </w:p>
        </w:tc>
        <w:tc>
          <w:tcPr>
            <w:tcW w:w="1565" w:type="dxa"/>
            <w:vAlign w:val="center"/>
          </w:tcPr>
          <w:p w14:paraId="561435E2" w14:textId="77777777" w:rsidR="00CE6045" w:rsidRDefault="00CE6045" w:rsidP="00F65C73">
            <w:pPr>
              <w:pStyle w:val="Sansinterligne"/>
              <w:jc w:val="center"/>
            </w:pPr>
            <w:r>
              <w:rPr>
                <w:b/>
                <w:bCs/>
                <w:noProof/>
                <w:color w:val="002060"/>
              </w:rPr>
              <w:drawing>
                <wp:inline distT="0" distB="0" distL="0" distR="0" wp14:anchorId="2113CEC2" wp14:editId="0FEFA6D2">
                  <wp:extent cx="262393" cy="262393"/>
                  <wp:effectExtent l="0" t="0" r="4445" b="4445"/>
                  <wp:docPr id="784945857" name="Graphique 78494585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CE6045" w14:paraId="4E1493B4" w14:textId="77777777" w:rsidTr="00F65C73">
        <w:tc>
          <w:tcPr>
            <w:tcW w:w="284" w:type="dxa"/>
            <w:tcBorders>
              <w:right w:val="nil"/>
            </w:tcBorders>
          </w:tcPr>
          <w:p w14:paraId="77015F55" w14:textId="77777777" w:rsidR="00CE6045" w:rsidRDefault="00CE6045" w:rsidP="00F65C73">
            <w:pPr>
              <w:pStyle w:val="Sansinterligne"/>
              <w:jc w:val="both"/>
            </w:pPr>
          </w:p>
        </w:tc>
        <w:tc>
          <w:tcPr>
            <w:tcW w:w="8788" w:type="dxa"/>
            <w:gridSpan w:val="2"/>
            <w:tcBorders>
              <w:left w:val="nil"/>
            </w:tcBorders>
            <w:vAlign w:val="center"/>
          </w:tcPr>
          <w:p w14:paraId="0AB32A6E" w14:textId="77777777" w:rsidR="00CE6045" w:rsidRPr="00903E4B" w:rsidRDefault="00CE6045" w:rsidP="00F65C73">
            <w:pPr>
              <w:pStyle w:val="Sansinterligne"/>
            </w:pPr>
            <w:r>
              <w:t>T</w:t>
            </w:r>
            <w:r w:rsidRPr="00903E4B">
              <w:t>aux forfaitaire(s) applicable(s) dans d’autres politiques de l’UE pour des opérations similaires</w:t>
            </w:r>
          </w:p>
        </w:tc>
        <w:tc>
          <w:tcPr>
            <w:tcW w:w="1565" w:type="dxa"/>
            <w:vAlign w:val="center"/>
          </w:tcPr>
          <w:p w14:paraId="166F7CD4" w14:textId="77777777" w:rsidR="00CE6045" w:rsidRDefault="00CE6045" w:rsidP="00F65C73">
            <w:pPr>
              <w:pStyle w:val="Sansinterligne"/>
              <w:jc w:val="center"/>
            </w:pPr>
            <w:r>
              <w:rPr>
                <w:b/>
                <w:bCs/>
                <w:noProof/>
                <w:color w:val="002060"/>
              </w:rPr>
              <w:drawing>
                <wp:inline distT="0" distB="0" distL="0" distR="0" wp14:anchorId="77DF7E8F" wp14:editId="54071D99">
                  <wp:extent cx="262393" cy="262393"/>
                  <wp:effectExtent l="0" t="0" r="4445" b="4445"/>
                  <wp:docPr id="784945858" name="Graphique 784945858"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CE6045" w14:paraId="1D73DB3A" w14:textId="77777777" w:rsidTr="00F65C73">
        <w:tc>
          <w:tcPr>
            <w:tcW w:w="9072" w:type="dxa"/>
            <w:gridSpan w:val="3"/>
            <w:vAlign w:val="center"/>
          </w:tcPr>
          <w:p w14:paraId="06732D32" w14:textId="77777777" w:rsidR="00CE6045" w:rsidRPr="00903E4B" w:rsidRDefault="00CE6045" w:rsidP="00F65C73">
            <w:pPr>
              <w:pStyle w:val="Sansinterligne"/>
              <w:rPr>
                <w:b/>
                <w:bCs/>
                <w:color w:val="002060"/>
              </w:rPr>
            </w:pPr>
            <w:r w:rsidRPr="00903E4B">
              <w:rPr>
                <w:b/>
                <w:bCs/>
                <w:color w:val="002060"/>
              </w:rPr>
              <w:t>Montants forfaitaires</w:t>
            </w:r>
          </w:p>
        </w:tc>
        <w:tc>
          <w:tcPr>
            <w:tcW w:w="1565" w:type="dxa"/>
            <w:vAlign w:val="center"/>
          </w:tcPr>
          <w:p w14:paraId="0B99919D" w14:textId="77777777" w:rsidR="00CE6045" w:rsidRPr="00903E4B" w:rsidRDefault="00CE6045" w:rsidP="00F65C73">
            <w:pPr>
              <w:pStyle w:val="Sansinterligne"/>
              <w:jc w:val="center"/>
              <w:rPr>
                <w:b/>
                <w:bCs/>
                <w:color w:val="002060"/>
              </w:rPr>
            </w:pPr>
            <w:r>
              <w:rPr>
                <w:b/>
                <w:bCs/>
                <w:noProof/>
                <w:color w:val="002060"/>
              </w:rPr>
              <w:drawing>
                <wp:inline distT="0" distB="0" distL="0" distR="0" wp14:anchorId="300754EB" wp14:editId="24518926">
                  <wp:extent cx="230588" cy="230588"/>
                  <wp:effectExtent l="0" t="0" r="0" b="0"/>
                  <wp:docPr id="784945859" name="Graphique 784945859"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CE6045" w14:paraId="4E64B7E8" w14:textId="77777777" w:rsidTr="00F65C73">
        <w:tc>
          <w:tcPr>
            <w:tcW w:w="9072" w:type="dxa"/>
            <w:gridSpan w:val="3"/>
            <w:vAlign w:val="center"/>
          </w:tcPr>
          <w:p w14:paraId="00ADF37A" w14:textId="77777777" w:rsidR="00CE6045" w:rsidRPr="00903E4B" w:rsidRDefault="00CE6045" w:rsidP="00F65C73">
            <w:pPr>
              <w:pStyle w:val="Sansinterligne"/>
              <w:rPr>
                <w:b/>
                <w:bCs/>
                <w:color w:val="002060"/>
              </w:rPr>
            </w:pPr>
            <w:r w:rsidRPr="00903E4B">
              <w:rPr>
                <w:b/>
                <w:bCs/>
                <w:color w:val="002060"/>
              </w:rPr>
              <w:t>Barème standard de coût unitaire</w:t>
            </w:r>
          </w:p>
        </w:tc>
        <w:tc>
          <w:tcPr>
            <w:tcW w:w="1565" w:type="dxa"/>
            <w:vAlign w:val="center"/>
          </w:tcPr>
          <w:p w14:paraId="2C6233A9" w14:textId="77777777" w:rsidR="00CE6045" w:rsidRPr="00903E4B" w:rsidRDefault="00CE6045" w:rsidP="00F65C73">
            <w:pPr>
              <w:pStyle w:val="Sansinterligne"/>
              <w:jc w:val="center"/>
              <w:rPr>
                <w:b/>
                <w:bCs/>
                <w:color w:val="002060"/>
              </w:rPr>
            </w:pPr>
            <w:r>
              <w:rPr>
                <w:b/>
                <w:bCs/>
                <w:noProof/>
                <w:color w:val="002060"/>
              </w:rPr>
              <w:drawing>
                <wp:inline distT="0" distB="0" distL="0" distR="0" wp14:anchorId="67073F1C" wp14:editId="1C0CF9E1">
                  <wp:extent cx="246490" cy="246490"/>
                  <wp:effectExtent l="0" t="0" r="1270" b="1270"/>
                  <wp:docPr id="784945860" name="Graphique 78494586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4595" cy="254595"/>
                          </a:xfrm>
                          <a:prstGeom prst="rect">
                            <a:avLst/>
                          </a:prstGeom>
                        </pic:spPr>
                      </pic:pic>
                    </a:graphicData>
                  </a:graphic>
                </wp:inline>
              </w:drawing>
            </w:r>
          </w:p>
        </w:tc>
      </w:tr>
    </w:tbl>
    <w:p w14:paraId="08F018A3" w14:textId="77777777" w:rsidR="00CE6045" w:rsidRDefault="00CE6045" w:rsidP="00CE6045">
      <w:pPr>
        <w:pStyle w:val="Sansinterligne"/>
        <w:jc w:val="both"/>
      </w:pPr>
    </w:p>
    <w:p w14:paraId="7DEDDCCF" w14:textId="77777777" w:rsidR="00CE6045" w:rsidRPr="002C70D5" w:rsidRDefault="00CE6045" w:rsidP="00CE6045">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Taux d’aide applicables et seuils d’intervention FEDER</w:t>
      </w:r>
    </w:p>
    <w:p w14:paraId="293CE8DD" w14:textId="77777777" w:rsidR="00CE6045" w:rsidRDefault="00CE6045" w:rsidP="00CE6045">
      <w:pPr>
        <w:pStyle w:val="Sansinterligne"/>
        <w:jc w:val="both"/>
      </w:pPr>
    </w:p>
    <w:tbl>
      <w:tblPr>
        <w:tblStyle w:val="Grilledutableau"/>
        <w:tblW w:w="10627" w:type="dxa"/>
        <w:tblLook w:val="04A0" w:firstRow="1" w:lastRow="0" w:firstColumn="1" w:lastColumn="0" w:noHBand="0" w:noVBand="1"/>
      </w:tblPr>
      <w:tblGrid>
        <w:gridCol w:w="3697"/>
        <w:gridCol w:w="711"/>
        <w:gridCol w:w="6219"/>
      </w:tblGrid>
      <w:tr w:rsidR="00CE6045" w14:paraId="70E261D1" w14:textId="77777777" w:rsidTr="00F65C73">
        <w:trPr>
          <w:trHeight w:val="725"/>
        </w:trPr>
        <w:tc>
          <w:tcPr>
            <w:tcW w:w="3697" w:type="dxa"/>
            <w:vAlign w:val="center"/>
          </w:tcPr>
          <w:p w14:paraId="20BE1CE9" w14:textId="77777777" w:rsidR="00CE6045" w:rsidRPr="007C7EF5" w:rsidRDefault="00CE6045" w:rsidP="00F65C73">
            <w:pPr>
              <w:pStyle w:val="Sansinterligne"/>
              <w:jc w:val="center"/>
              <w:rPr>
                <w:b/>
                <w:bCs/>
              </w:rPr>
            </w:pPr>
            <w:r w:rsidRPr="007C7EF5">
              <w:rPr>
                <w:b/>
                <w:bCs/>
              </w:rPr>
              <w:t>Taux maximum indicatif FEDER du coût total éligible</w:t>
            </w:r>
          </w:p>
          <w:p w14:paraId="3867DA15" w14:textId="77777777" w:rsidR="00CE6045" w:rsidRDefault="00CE6045" w:rsidP="00F65C73">
            <w:pPr>
              <w:pStyle w:val="Sansinterligne"/>
              <w:jc w:val="center"/>
            </w:pPr>
            <w:r w:rsidRPr="007C7EF5">
              <w:rPr>
                <w:sz w:val="20"/>
                <w:szCs w:val="20"/>
              </w:rPr>
              <w:t>(sous réserve de la règlementation en matière d’aide d’Etat)</w:t>
            </w:r>
          </w:p>
        </w:tc>
        <w:tc>
          <w:tcPr>
            <w:tcW w:w="711" w:type="dxa"/>
            <w:vAlign w:val="center"/>
          </w:tcPr>
          <w:p w14:paraId="03261D64" w14:textId="77777777" w:rsidR="00CE6045" w:rsidRPr="007C7EF5" w:rsidRDefault="00CE6045" w:rsidP="00F65C73">
            <w:pPr>
              <w:pStyle w:val="Sansinterligne"/>
              <w:jc w:val="center"/>
              <w:rPr>
                <w:b/>
                <w:bCs/>
              </w:rPr>
            </w:pPr>
            <w:r w:rsidRPr="007C7EF5">
              <w:rPr>
                <w:b/>
                <w:bCs/>
                <w:color w:val="00B050"/>
              </w:rPr>
              <w:t>60%</w:t>
            </w:r>
          </w:p>
        </w:tc>
        <w:tc>
          <w:tcPr>
            <w:tcW w:w="6219" w:type="dxa"/>
            <w:vAlign w:val="center"/>
          </w:tcPr>
          <w:p w14:paraId="68423CEC" w14:textId="77777777" w:rsidR="00CE6045" w:rsidRPr="007C7EF5" w:rsidRDefault="00CE6045" w:rsidP="00F65C73">
            <w:pPr>
              <w:pStyle w:val="Sansinterligne"/>
              <w:rPr>
                <w:b/>
                <w:bCs/>
              </w:rPr>
            </w:pPr>
            <w:r w:rsidRPr="007C7EF5">
              <w:rPr>
                <w:b/>
                <w:bCs/>
              </w:rPr>
              <w:t xml:space="preserve">Régimes d’aides applicables : </w:t>
            </w:r>
          </w:p>
          <w:p w14:paraId="50282166" w14:textId="77777777" w:rsidR="00CE6045" w:rsidRPr="007C7EF5" w:rsidRDefault="00CE6045" w:rsidP="00F65C73">
            <w:pPr>
              <w:pStyle w:val="Sansinterligne"/>
              <w:numPr>
                <w:ilvl w:val="0"/>
                <w:numId w:val="1"/>
              </w:numPr>
              <w:rPr>
                <w:sz w:val="20"/>
                <w:szCs w:val="20"/>
              </w:rPr>
            </w:pPr>
            <w:r w:rsidRPr="007C7EF5">
              <w:rPr>
                <w:sz w:val="20"/>
                <w:szCs w:val="20"/>
              </w:rPr>
              <w:t xml:space="preserve">Toute base juridique pertinente, notamment en recherche, développement et innovation (RDI). </w:t>
            </w:r>
          </w:p>
          <w:p w14:paraId="2E96139B" w14:textId="77777777" w:rsidR="00CE6045" w:rsidRPr="007C7EF5" w:rsidRDefault="00CE6045" w:rsidP="00F65C73">
            <w:pPr>
              <w:pStyle w:val="Sansinterligne"/>
              <w:numPr>
                <w:ilvl w:val="0"/>
                <w:numId w:val="1"/>
              </w:numPr>
              <w:rPr>
                <w:sz w:val="20"/>
                <w:szCs w:val="20"/>
              </w:rPr>
            </w:pPr>
            <w:r w:rsidRPr="007C7EF5">
              <w:rPr>
                <w:sz w:val="20"/>
                <w:szCs w:val="20"/>
              </w:rPr>
              <w:t xml:space="preserve">Régime Général d’Exemption par Catégorie (RGEC) n°651/2014 du 17 juin 2014. </w:t>
            </w:r>
          </w:p>
          <w:p w14:paraId="4E7AFB12" w14:textId="77777777" w:rsidR="00CE6045" w:rsidRPr="007C7EF5" w:rsidRDefault="00CE6045" w:rsidP="00F65C73">
            <w:pPr>
              <w:pStyle w:val="Sansinterligne"/>
              <w:numPr>
                <w:ilvl w:val="0"/>
                <w:numId w:val="1"/>
              </w:numPr>
              <w:rPr>
                <w:sz w:val="20"/>
                <w:szCs w:val="20"/>
              </w:rPr>
            </w:pPr>
            <w:r w:rsidRPr="007C7EF5">
              <w:rPr>
                <w:sz w:val="20"/>
                <w:szCs w:val="20"/>
              </w:rPr>
              <w:t xml:space="preserve">Règlement (UE) n° 360/2012 du 25 avril 2012 relatif aux aides de minimis SIEG (Services d’Intérêt Économique Général). </w:t>
            </w:r>
          </w:p>
          <w:p w14:paraId="5EFED29B" w14:textId="77777777" w:rsidR="00CE6045" w:rsidRDefault="00CE6045" w:rsidP="00F65C73">
            <w:pPr>
              <w:pStyle w:val="Sansinterligne"/>
              <w:numPr>
                <w:ilvl w:val="0"/>
                <w:numId w:val="1"/>
              </w:numPr>
            </w:pPr>
            <w:r w:rsidRPr="007C7EF5">
              <w:rPr>
                <w:sz w:val="20"/>
                <w:szCs w:val="20"/>
              </w:rPr>
              <w:t xml:space="preserve">Règlement (UE) n°1407/2013 du 18 décembre 2013 relatif aux aides de minimis. </w:t>
            </w:r>
          </w:p>
        </w:tc>
      </w:tr>
      <w:tr w:rsidR="00CE6045" w14:paraId="65C4B8E4" w14:textId="77777777" w:rsidTr="00F65C73">
        <w:trPr>
          <w:trHeight w:val="268"/>
        </w:trPr>
        <w:tc>
          <w:tcPr>
            <w:tcW w:w="4408" w:type="dxa"/>
            <w:gridSpan w:val="2"/>
            <w:vAlign w:val="center"/>
          </w:tcPr>
          <w:p w14:paraId="37CF8324" w14:textId="77777777" w:rsidR="00CE6045" w:rsidRPr="007C7EF5" w:rsidRDefault="00CE6045" w:rsidP="00F65C73">
            <w:pPr>
              <w:pStyle w:val="Sansinterligne"/>
              <w:jc w:val="center"/>
              <w:rPr>
                <w:b/>
                <w:bCs/>
                <w:color w:val="00B050"/>
              </w:rPr>
            </w:pPr>
            <w:r>
              <w:rPr>
                <w:b/>
                <w:bCs/>
              </w:rPr>
              <w:t>Montant de l’aide FEDER (minimum/maximum)</w:t>
            </w:r>
          </w:p>
        </w:tc>
        <w:tc>
          <w:tcPr>
            <w:tcW w:w="6219" w:type="dxa"/>
            <w:vAlign w:val="center"/>
          </w:tcPr>
          <w:p w14:paraId="2EE6CB6E" w14:textId="77777777" w:rsidR="00CE6045" w:rsidRDefault="00CE6045" w:rsidP="00F65C73">
            <w:pPr>
              <w:pStyle w:val="Sansinterligne"/>
              <w:rPr>
                <w:b/>
                <w:bCs/>
              </w:rPr>
            </w:pPr>
            <w:r>
              <w:rPr>
                <w:b/>
                <w:bCs/>
              </w:rPr>
              <w:t xml:space="preserve">Minimum : </w:t>
            </w:r>
          </w:p>
          <w:p w14:paraId="6716FC26" w14:textId="77777777" w:rsidR="00CE6045" w:rsidRDefault="00CE6045" w:rsidP="00F65C73">
            <w:pPr>
              <w:pStyle w:val="Sansinterligne"/>
              <w:numPr>
                <w:ilvl w:val="0"/>
                <w:numId w:val="1"/>
              </w:numPr>
              <w:rPr>
                <w:rFonts w:cstheme="minorHAnsi"/>
                <w:b/>
                <w:bCs/>
              </w:rPr>
            </w:pPr>
            <w:r w:rsidRPr="00B0450C">
              <w:rPr>
                <w:b/>
                <w:bCs/>
              </w:rPr>
              <w:t>Actions de médiation/d’animation/d’accompagnement stratégiques : 100 000</w:t>
            </w:r>
            <w:r w:rsidRPr="00B0450C">
              <w:rPr>
                <w:rFonts w:cstheme="minorHAnsi"/>
                <w:b/>
                <w:bCs/>
              </w:rPr>
              <w:t xml:space="preserve">€ </w:t>
            </w:r>
            <w:r>
              <w:rPr>
                <w:rFonts w:cstheme="minorHAnsi"/>
                <w:b/>
                <w:bCs/>
              </w:rPr>
              <w:t>par projet</w:t>
            </w:r>
          </w:p>
          <w:p w14:paraId="77D418B1" w14:textId="77777777" w:rsidR="00CE6045" w:rsidRPr="00B0450C" w:rsidRDefault="00CE6045" w:rsidP="00F65C73">
            <w:pPr>
              <w:pStyle w:val="Sansinterligne"/>
              <w:numPr>
                <w:ilvl w:val="0"/>
                <w:numId w:val="1"/>
              </w:numPr>
              <w:rPr>
                <w:rFonts w:cstheme="minorHAnsi"/>
                <w:b/>
                <w:bCs/>
              </w:rPr>
            </w:pPr>
            <w:r w:rsidRPr="00B0450C">
              <w:rPr>
                <w:b/>
                <w:bCs/>
              </w:rPr>
              <w:t xml:space="preserve">Tiers lieux : 30 000 </w:t>
            </w:r>
            <w:r w:rsidRPr="00B0450C">
              <w:rPr>
                <w:rFonts w:cstheme="minorHAnsi"/>
                <w:b/>
                <w:bCs/>
              </w:rPr>
              <w:t>€</w:t>
            </w:r>
            <w:r w:rsidRPr="00B0450C">
              <w:rPr>
                <w:b/>
                <w:bCs/>
              </w:rPr>
              <w:t xml:space="preserve"> par projet</w:t>
            </w:r>
          </w:p>
          <w:p w14:paraId="1EC424CE" w14:textId="77777777" w:rsidR="00CE6045" w:rsidRPr="007C7EF5" w:rsidRDefault="00CE6045" w:rsidP="00F65C73">
            <w:pPr>
              <w:pStyle w:val="Sansinterligne"/>
              <w:rPr>
                <w:b/>
                <w:bCs/>
              </w:rPr>
            </w:pPr>
            <w:r>
              <w:rPr>
                <w:rFonts w:cstheme="minorHAnsi"/>
                <w:b/>
                <w:bCs/>
              </w:rPr>
              <w:t>Maximum : 2 000 000 € par projet</w:t>
            </w:r>
          </w:p>
        </w:tc>
      </w:tr>
    </w:tbl>
    <w:p w14:paraId="46F5FCA9" w14:textId="77777777" w:rsidR="00CE6045" w:rsidRDefault="00CE6045" w:rsidP="00CE6045">
      <w:pPr>
        <w:pStyle w:val="Sansinterligne"/>
        <w:jc w:val="both"/>
        <w:rPr>
          <w:b/>
          <w:color w:val="FFFFFF" w:themeColor="background1"/>
          <w:sz w:val="28"/>
          <w:szCs w:val="28"/>
          <w:shd w:val="clear" w:color="auto" w:fill="70AD47" w:themeFill="accent6"/>
        </w:rPr>
      </w:pPr>
    </w:p>
    <w:p w14:paraId="65EAC692" w14:textId="77777777" w:rsidR="00CE6045" w:rsidRPr="002C70D5" w:rsidRDefault="00CE6045" w:rsidP="00CE6045">
      <w:pPr>
        <w:pStyle w:val="Sansinterligne"/>
        <w:shd w:val="clear" w:color="auto" w:fill="E2EFD9" w:themeFill="accent6" w:themeFillTint="33"/>
        <w:jc w:val="both"/>
        <w:rPr>
          <w:b/>
          <w:bCs/>
          <w:sz w:val="28"/>
          <w:szCs w:val="28"/>
        </w:rPr>
      </w:pPr>
      <w:r>
        <w:rPr>
          <w:b/>
          <w:bCs/>
          <w:color w:val="FFFFFF" w:themeColor="background1"/>
          <w:sz w:val="28"/>
          <w:szCs w:val="28"/>
          <w:shd w:val="clear" w:color="auto" w:fill="70AD47" w:themeFill="accent6"/>
        </w:rPr>
        <w:t>MODALITÉS DE FINANCEMENT</w:t>
      </w:r>
      <w:r w:rsidRPr="007C7EF5">
        <w:rPr>
          <w:b/>
          <w:bCs/>
          <w:color w:val="FFFFFF" w:themeColor="background1"/>
          <w:sz w:val="28"/>
          <w:szCs w:val="28"/>
          <w:shd w:val="clear" w:color="auto" w:fill="70AD47" w:themeFill="accent6"/>
        </w:rPr>
        <w:t> ?</w:t>
      </w:r>
      <w:r w:rsidRPr="007C7EF5">
        <w:rPr>
          <w:b/>
          <w:bCs/>
          <w:sz w:val="28"/>
          <w:szCs w:val="28"/>
          <w:shd w:val="clear" w:color="auto" w:fill="70AD47" w:themeFill="accent6"/>
        </w:rPr>
        <w:t xml:space="preserve"> </w:t>
      </w:r>
      <w:r>
        <w:rPr>
          <w:b/>
          <w:bCs/>
          <w:sz w:val="28"/>
          <w:szCs w:val="28"/>
        </w:rPr>
        <w:t xml:space="preserve"> </w:t>
      </w:r>
      <w:r>
        <w:rPr>
          <w:b/>
          <w:bCs/>
          <w:color w:val="002060"/>
          <w:sz w:val="28"/>
          <w:szCs w:val="28"/>
        </w:rPr>
        <w:t>Autres cofinanceurs mobilisables (liste non exhaustive)</w:t>
      </w:r>
    </w:p>
    <w:p w14:paraId="7AD0AD72" w14:textId="77777777" w:rsidR="00CE6045" w:rsidRDefault="00CE6045" w:rsidP="00CE6045">
      <w:pPr>
        <w:pStyle w:val="Sansinterligne"/>
        <w:ind w:left="720"/>
        <w:jc w:val="both"/>
      </w:pPr>
    </w:p>
    <w:p w14:paraId="329AE986" w14:textId="77777777" w:rsidR="00CE6045" w:rsidRDefault="00CE6045" w:rsidP="00CE6045">
      <w:pPr>
        <w:pStyle w:val="Sansinterligne"/>
        <w:numPr>
          <w:ilvl w:val="0"/>
          <w:numId w:val="1"/>
        </w:numPr>
        <w:jc w:val="both"/>
      </w:pPr>
      <w:r>
        <w:t>Etat (dont ANR)</w:t>
      </w:r>
    </w:p>
    <w:p w14:paraId="7BFD7DF0" w14:textId="77777777" w:rsidR="00CE6045" w:rsidRDefault="00CE6045" w:rsidP="00CE6045">
      <w:pPr>
        <w:pStyle w:val="Sansinterligne"/>
        <w:numPr>
          <w:ilvl w:val="0"/>
          <w:numId w:val="1"/>
        </w:numPr>
        <w:jc w:val="both"/>
      </w:pPr>
      <w:r>
        <w:t>Région (</w:t>
      </w:r>
      <w:r w:rsidRPr="005A671D">
        <w:t>dont Dispositif Ambition Recherche 2020, Appels à projets de recherche)</w:t>
      </w:r>
    </w:p>
    <w:p w14:paraId="46D54C3C" w14:textId="77777777" w:rsidR="00CE6045" w:rsidRDefault="00CE6045" w:rsidP="00CE6045">
      <w:pPr>
        <w:pStyle w:val="Sansinterligne"/>
        <w:numPr>
          <w:ilvl w:val="0"/>
          <w:numId w:val="1"/>
        </w:numPr>
        <w:jc w:val="both"/>
      </w:pPr>
      <w:r>
        <w:t>Autres collectivités territoriales</w:t>
      </w:r>
    </w:p>
    <w:p w14:paraId="7FDA70EF" w14:textId="77777777" w:rsidR="00CE6045" w:rsidRDefault="00CE6045" w:rsidP="00CE6045">
      <w:pPr>
        <w:pStyle w:val="Sansinterligne"/>
        <w:ind w:left="720"/>
        <w:jc w:val="both"/>
      </w:pPr>
    </w:p>
    <w:p w14:paraId="7A2B8A8A" w14:textId="77777777" w:rsidR="00CE6045" w:rsidRPr="002C70D5" w:rsidRDefault="00CE6045" w:rsidP="00CE6045">
      <w:pPr>
        <w:pStyle w:val="Sansinterligne"/>
        <w:shd w:val="clear" w:color="auto" w:fill="E2CFF1"/>
        <w:jc w:val="both"/>
        <w:rPr>
          <w:b/>
          <w:bCs/>
          <w:sz w:val="28"/>
          <w:szCs w:val="28"/>
        </w:rPr>
      </w:pPr>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Indicateurs de réalisation et de résultat</w:t>
      </w:r>
    </w:p>
    <w:p w14:paraId="736ECAF0" w14:textId="77777777" w:rsidR="00CE6045" w:rsidRDefault="00CE6045" w:rsidP="00CE6045">
      <w:pPr>
        <w:pStyle w:val="Sansinterligne"/>
        <w:jc w:val="both"/>
        <w:rPr>
          <w:b/>
          <w:bCs/>
          <w:color w:val="FFFFFF" w:themeColor="background1"/>
          <w:sz w:val="28"/>
          <w:szCs w:val="28"/>
          <w:shd w:val="clear" w:color="auto" w:fill="7030A0"/>
        </w:rPr>
      </w:pPr>
    </w:p>
    <w:tbl>
      <w:tblPr>
        <w:tblW w:w="10627" w:type="dxa"/>
        <w:tblCellMar>
          <w:left w:w="70" w:type="dxa"/>
          <w:right w:w="70" w:type="dxa"/>
        </w:tblCellMar>
        <w:tblLook w:val="04A0" w:firstRow="1" w:lastRow="0" w:firstColumn="1" w:lastColumn="0" w:noHBand="0" w:noVBand="1"/>
      </w:tblPr>
      <w:tblGrid>
        <w:gridCol w:w="1130"/>
        <w:gridCol w:w="822"/>
        <w:gridCol w:w="4028"/>
        <w:gridCol w:w="1122"/>
        <w:gridCol w:w="1122"/>
        <w:gridCol w:w="2403"/>
      </w:tblGrid>
      <w:tr w:rsidR="00CE6045" w:rsidRPr="00F35ED5" w14:paraId="2305066E" w14:textId="77777777" w:rsidTr="00F65C73">
        <w:trPr>
          <w:trHeight w:val="466"/>
        </w:trPr>
        <w:tc>
          <w:tcPr>
            <w:tcW w:w="11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6C4E4C" w14:textId="77777777" w:rsidR="00CE6045" w:rsidRPr="00F35ED5" w:rsidRDefault="00CE6045" w:rsidP="00F65C73">
            <w:pPr>
              <w:spacing w:after="0" w:line="240" w:lineRule="auto"/>
              <w:jc w:val="center"/>
              <w:rPr>
                <w:rFonts w:ascii="Calibri" w:eastAsia="Times New Roman" w:hAnsi="Calibri" w:cs="Calibri"/>
                <w:b/>
                <w:bCs/>
                <w:lang w:eastAsia="fr-FR"/>
              </w:rPr>
            </w:pPr>
            <w:r w:rsidRPr="00F35ED5">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6204B637" w14:textId="77777777" w:rsidR="00CE6045" w:rsidRPr="00F35ED5" w:rsidRDefault="00CE6045" w:rsidP="00F65C73">
            <w:pPr>
              <w:spacing w:after="0" w:line="240" w:lineRule="auto"/>
              <w:jc w:val="center"/>
              <w:rPr>
                <w:rFonts w:ascii="Calibri" w:eastAsia="Times New Roman" w:hAnsi="Calibri" w:cs="Calibri"/>
                <w:b/>
                <w:bCs/>
                <w:lang w:eastAsia="fr-FR"/>
              </w:rPr>
            </w:pPr>
            <w:r w:rsidRPr="00F35ED5">
              <w:rPr>
                <w:rFonts w:ascii="Calibri" w:eastAsia="Times New Roman" w:hAnsi="Calibri" w:cs="Calibri"/>
                <w:b/>
                <w:bCs/>
                <w:lang w:eastAsia="fr-FR"/>
              </w:rPr>
              <w:t>Numéro</w:t>
            </w:r>
          </w:p>
        </w:tc>
        <w:tc>
          <w:tcPr>
            <w:tcW w:w="4028" w:type="dxa"/>
            <w:tcBorders>
              <w:top w:val="single" w:sz="4" w:space="0" w:color="auto"/>
              <w:left w:val="nil"/>
              <w:bottom w:val="single" w:sz="4" w:space="0" w:color="auto"/>
              <w:right w:val="single" w:sz="4" w:space="0" w:color="auto"/>
            </w:tcBorders>
            <w:shd w:val="clear" w:color="000000" w:fill="D9D9D9"/>
            <w:vAlign w:val="center"/>
            <w:hideMark/>
          </w:tcPr>
          <w:p w14:paraId="69CF3884" w14:textId="77777777" w:rsidR="00CE6045" w:rsidRPr="00F35ED5" w:rsidRDefault="00CE6045" w:rsidP="00F65C73">
            <w:pPr>
              <w:spacing w:after="0" w:line="240" w:lineRule="auto"/>
              <w:jc w:val="center"/>
              <w:rPr>
                <w:rFonts w:ascii="Calibri" w:eastAsia="Times New Roman" w:hAnsi="Calibri" w:cs="Calibri"/>
                <w:b/>
                <w:bCs/>
                <w:lang w:eastAsia="fr-FR"/>
              </w:rPr>
            </w:pPr>
            <w:r w:rsidRPr="00F35ED5">
              <w:rPr>
                <w:rFonts w:ascii="Calibri" w:eastAsia="Times New Roman" w:hAnsi="Calibri" w:cs="Calibri"/>
                <w:b/>
                <w:bCs/>
                <w:lang w:eastAsia="fr-FR"/>
              </w:rPr>
              <w:t>Intitulé</w:t>
            </w:r>
          </w:p>
        </w:tc>
        <w:tc>
          <w:tcPr>
            <w:tcW w:w="1122" w:type="dxa"/>
            <w:tcBorders>
              <w:top w:val="single" w:sz="4" w:space="0" w:color="auto"/>
              <w:left w:val="nil"/>
              <w:bottom w:val="single" w:sz="4" w:space="0" w:color="auto"/>
              <w:right w:val="single" w:sz="4" w:space="0" w:color="auto"/>
            </w:tcBorders>
            <w:shd w:val="clear" w:color="000000" w:fill="DDEBF7"/>
            <w:vAlign w:val="center"/>
            <w:hideMark/>
          </w:tcPr>
          <w:p w14:paraId="4DB8064E" w14:textId="77777777" w:rsidR="00CE6045" w:rsidRPr="00F35ED5" w:rsidRDefault="00CE6045" w:rsidP="00F65C73">
            <w:pPr>
              <w:spacing w:after="0" w:line="240" w:lineRule="auto"/>
              <w:jc w:val="center"/>
              <w:rPr>
                <w:rFonts w:ascii="Calibri" w:eastAsia="Times New Roman" w:hAnsi="Calibri" w:cs="Calibri"/>
                <w:b/>
                <w:bCs/>
                <w:lang w:eastAsia="fr-FR"/>
              </w:rPr>
            </w:pPr>
            <w:r w:rsidRPr="00F35ED5">
              <w:rPr>
                <w:rFonts w:ascii="Calibri" w:eastAsia="Times New Roman" w:hAnsi="Calibri" w:cs="Calibri"/>
                <w:b/>
                <w:bCs/>
                <w:lang w:eastAsia="fr-FR"/>
              </w:rPr>
              <w:t>Valeur 2024</w:t>
            </w:r>
          </w:p>
        </w:tc>
        <w:tc>
          <w:tcPr>
            <w:tcW w:w="1122" w:type="dxa"/>
            <w:tcBorders>
              <w:top w:val="single" w:sz="4" w:space="0" w:color="auto"/>
              <w:left w:val="nil"/>
              <w:bottom w:val="single" w:sz="4" w:space="0" w:color="auto"/>
              <w:right w:val="single" w:sz="4" w:space="0" w:color="auto"/>
            </w:tcBorders>
            <w:shd w:val="clear" w:color="000000" w:fill="DDEBF7"/>
            <w:vAlign w:val="center"/>
            <w:hideMark/>
          </w:tcPr>
          <w:p w14:paraId="27D6BCD3" w14:textId="77777777" w:rsidR="00CE6045" w:rsidRPr="00F35ED5" w:rsidRDefault="00CE6045" w:rsidP="00F65C73">
            <w:pPr>
              <w:spacing w:after="0" w:line="240" w:lineRule="auto"/>
              <w:jc w:val="center"/>
              <w:rPr>
                <w:rFonts w:ascii="Calibri" w:eastAsia="Times New Roman" w:hAnsi="Calibri" w:cs="Calibri"/>
                <w:b/>
                <w:bCs/>
                <w:lang w:eastAsia="fr-FR"/>
              </w:rPr>
            </w:pPr>
            <w:r w:rsidRPr="00F35ED5">
              <w:rPr>
                <w:rFonts w:ascii="Calibri" w:eastAsia="Times New Roman" w:hAnsi="Calibri" w:cs="Calibri"/>
                <w:b/>
                <w:bCs/>
                <w:lang w:eastAsia="fr-FR"/>
              </w:rPr>
              <w:t>Valeur 2029</w:t>
            </w:r>
          </w:p>
        </w:tc>
        <w:tc>
          <w:tcPr>
            <w:tcW w:w="2403" w:type="dxa"/>
            <w:tcBorders>
              <w:top w:val="single" w:sz="4" w:space="0" w:color="auto"/>
              <w:left w:val="nil"/>
              <w:bottom w:val="single" w:sz="4" w:space="0" w:color="auto"/>
              <w:right w:val="single" w:sz="4" w:space="0" w:color="auto"/>
            </w:tcBorders>
            <w:shd w:val="clear" w:color="000000" w:fill="FFFF00"/>
            <w:vAlign w:val="center"/>
            <w:hideMark/>
          </w:tcPr>
          <w:p w14:paraId="7416A000" w14:textId="77777777" w:rsidR="00CE6045" w:rsidRPr="00F35ED5" w:rsidRDefault="00CE6045" w:rsidP="00F65C73">
            <w:pPr>
              <w:spacing w:after="0" w:line="240" w:lineRule="auto"/>
              <w:jc w:val="center"/>
              <w:rPr>
                <w:rFonts w:ascii="Calibri" w:eastAsia="Times New Roman" w:hAnsi="Calibri" w:cs="Calibri"/>
                <w:b/>
                <w:bCs/>
                <w:lang w:eastAsia="fr-FR"/>
              </w:rPr>
            </w:pPr>
            <w:r w:rsidRPr="00F35ED5">
              <w:rPr>
                <w:rFonts w:ascii="Calibri" w:eastAsia="Times New Roman" w:hAnsi="Calibri" w:cs="Calibri"/>
                <w:b/>
                <w:bCs/>
                <w:lang w:eastAsia="fr-FR"/>
              </w:rPr>
              <w:t>Pièces justificatives</w:t>
            </w:r>
          </w:p>
        </w:tc>
      </w:tr>
      <w:tr w:rsidR="00CE6045" w:rsidRPr="00F35ED5" w14:paraId="5F545CB1" w14:textId="77777777" w:rsidTr="00F65C73">
        <w:trPr>
          <w:trHeight w:val="677"/>
        </w:trPr>
        <w:tc>
          <w:tcPr>
            <w:tcW w:w="1130" w:type="dxa"/>
            <w:tcBorders>
              <w:top w:val="nil"/>
              <w:left w:val="single" w:sz="4" w:space="0" w:color="auto"/>
              <w:bottom w:val="single" w:sz="4" w:space="0" w:color="auto"/>
              <w:right w:val="single" w:sz="4" w:space="0" w:color="auto"/>
            </w:tcBorders>
            <w:shd w:val="clear" w:color="000000" w:fill="FFFFFF"/>
            <w:vAlign w:val="center"/>
            <w:hideMark/>
          </w:tcPr>
          <w:p w14:paraId="12D46921" w14:textId="77777777" w:rsidR="00CE6045" w:rsidRPr="00F35ED5" w:rsidRDefault="00CE6045" w:rsidP="00F65C73">
            <w:pPr>
              <w:spacing w:after="0" w:line="240" w:lineRule="auto"/>
              <w:jc w:val="center"/>
              <w:rPr>
                <w:rFonts w:ascii="Calibri" w:eastAsia="Times New Roman" w:hAnsi="Calibri" w:cs="Calibri"/>
                <w:b/>
                <w:bCs/>
                <w:color w:val="5B9BD5"/>
                <w:lang w:eastAsia="fr-FR"/>
              </w:rPr>
            </w:pPr>
            <w:r w:rsidRPr="00F35ED5">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79D1CF2E" w14:textId="77777777" w:rsidR="00CE6045" w:rsidRPr="00F35ED5" w:rsidRDefault="00CE6045" w:rsidP="00F65C73">
            <w:pPr>
              <w:spacing w:after="0" w:line="240" w:lineRule="auto"/>
              <w:jc w:val="center"/>
              <w:rPr>
                <w:rFonts w:ascii="Calibri" w:eastAsia="Times New Roman" w:hAnsi="Calibri" w:cs="Calibri"/>
                <w:lang w:eastAsia="fr-FR"/>
              </w:rPr>
            </w:pPr>
            <w:r w:rsidRPr="00F35ED5">
              <w:rPr>
                <w:rFonts w:ascii="Calibri" w:eastAsia="Times New Roman" w:hAnsi="Calibri" w:cs="Calibri"/>
                <w:lang w:eastAsia="fr-FR"/>
              </w:rPr>
              <w:t>RCO14</w:t>
            </w:r>
          </w:p>
        </w:tc>
        <w:tc>
          <w:tcPr>
            <w:tcW w:w="4028" w:type="dxa"/>
            <w:tcBorders>
              <w:top w:val="nil"/>
              <w:left w:val="nil"/>
              <w:bottom w:val="single" w:sz="4" w:space="0" w:color="auto"/>
              <w:right w:val="single" w:sz="4" w:space="0" w:color="auto"/>
            </w:tcBorders>
            <w:shd w:val="clear" w:color="000000" w:fill="FFFFFF"/>
            <w:vAlign w:val="center"/>
            <w:hideMark/>
          </w:tcPr>
          <w:p w14:paraId="010620C2" w14:textId="77777777" w:rsidR="00CE6045" w:rsidRPr="00F35ED5" w:rsidRDefault="00CE6045" w:rsidP="00F65C73">
            <w:pPr>
              <w:spacing w:after="0" w:line="240" w:lineRule="auto"/>
              <w:rPr>
                <w:rFonts w:ascii="Calibri" w:eastAsia="Times New Roman" w:hAnsi="Calibri" w:cs="Calibri"/>
                <w:lang w:eastAsia="fr-FR"/>
              </w:rPr>
            </w:pPr>
            <w:r w:rsidRPr="00F35ED5">
              <w:rPr>
                <w:rFonts w:ascii="Calibri" w:eastAsia="Times New Roman" w:hAnsi="Calibri" w:cs="Calibri"/>
                <w:lang w:eastAsia="fr-FR"/>
              </w:rPr>
              <w:t>Instituts publics bénéficiant d’un soutien pour l’élaboration de services, produits et processus numériques</w:t>
            </w:r>
          </w:p>
        </w:tc>
        <w:tc>
          <w:tcPr>
            <w:tcW w:w="1122" w:type="dxa"/>
            <w:tcBorders>
              <w:top w:val="nil"/>
              <w:left w:val="nil"/>
              <w:bottom w:val="single" w:sz="4" w:space="0" w:color="auto"/>
              <w:right w:val="single" w:sz="4" w:space="0" w:color="auto"/>
            </w:tcBorders>
            <w:shd w:val="clear" w:color="000000" w:fill="FFFFFF"/>
            <w:vAlign w:val="center"/>
            <w:hideMark/>
          </w:tcPr>
          <w:p w14:paraId="63236E7E" w14:textId="77777777" w:rsidR="00CE6045" w:rsidRPr="00F35ED5" w:rsidRDefault="00CE6045" w:rsidP="00F65C73">
            <w:pPr>
              <w:spacing w:after="0" w:line="240" w:lineRule="auto"/>
              <w:jc w:val="center"/>
              <w:rPr>
                <w:rFonts w:ascii="Calibri" w:eastAsia="Times New Roman" w:hAnsi="Calibri" w:cs="Calibri"/>
                <w:lang w:eastAsia="fr-FR"/>
              </w:rPr>
            </w:pPr>
            <w:r w:rsidRPr="00F35ED5">
              <w:rPr>
                <w:rFonts w:ascii="Calibri" w:eastAsia="Times New Roman" w:hAnsi="Calibri" w:cs="Calibri"/>
                <w:lang w:eastAsia="fr-FR"/>
              </w:rPr>
              <w:t>2</w:t>
            </w:r>
          </w:p>
        </w:tc>
        <w:tc>
          <w:tcPr>
            <w:tcW w:w="1122" w:type="dxa"/>
            <w:tcBorders>
              <w:top w:val="nil"/>
              <w:left w:val="nil"/>
              <w:bottom w:val="single" w:sz="4" w:space="0" w:color="auto"/>
              <w:right w:val="single" w:sz="4" w:space="0" w:color="auto"/>
            </w:tcBorders>
            <w:shd w:val="clear" w:color="000000" w:fill="FFFFFF"/>
            <w:vAlign w:val="center"/>
            <w:hideMark/>
          </w:tcPr>
          <w:p w14:paraId="6152C492" w14:textId="77777777" w:rsidR="00CE6045" w:rsidRPr="00F35ED5" w:rsidRDefault="00CE6045" w:rsidP="00F65C73">
            <w:pPr>
              <w:spacing w:after="0" w:line="240" w:lineRule="auto"/>
              <w:jc w:val="center"/>
              <w:rPr>
                <w:rFonts w:ascii="Calibri" w:eastAsia="Times New Roman" w:hAnsi="Calibri" w:cs="Calibri"/>
                <w:lang w:eastAsia="fr-FR"/>
              </w:rPr>
            </w:pPr>
            <w:r w:rsidRPr="00F35ED5">
              <w:rPr>
                <w:rFonts w:ascii="Calibri" w:eastAsia="Times New Roman" w:hAnsi="Calibri" w:cs="Calibri"/>
                <w:lang w:eastAsia="fr-FR"/>
              </w:rPr>
              <w:t>5</w:t>
            </w:r>
          </w:p>
        </w:tc>
        <w:tc>
          <w:tcPr>
            <w:tcW w:w="2403" w:type="dxa"/>
            <w:tcBorders>
              <w:top w:val="nil"/>
              <w:left w:val="nil"/>
              <w:bottom w:val="single" w:sz="4" w:space="0" w:color="auto"/>
              <w:right w:val="single" w:sz="4" w:space="0" w:color="auto"/>
            </w:tcBorders>
            <w:shd w:val="clear" w:color="000000" w:fill="FFFFFF"/>
            <w:vAlign w:val="center"/>
            <w:hideMark/>
          </w:tcPr>
          <w:p w14:paraId="3F4BF074" w14:textId="77777777" w:rsidR="00CE6045" w:rsidRPr="00F35ED5" w:rsidRDefault="00CE6045" w:rsidP="00F65C73">
            <w:pPr>
              <w:spacing w:after="0" w:line="240" w:lineRule="auto"/>
              <w:jc w:val="center"/>
              <w:rPr>
                <w:rFonts w:ascii="Calibri" w:eastAsia="Times New Roman" w:hAnsi="Calibri" w:cs="Calibri"/>
                <w:lang w:eastAsia="fr-FR"/>
              </w:rPr>
            </w:pPr>
            <w:r w:rsidRPr="00F35ED5">
              <w:rPr>
                <w:rFonts w:ascii="Calibri" w:eastAsia="Times New Roman" w:hAnsi="Calibri" w:cs="Calibri"/>
                <w:lang w:eastAsia="fr-FR"/>
              </w:rPr>
              <w:t>Liste n° SIRET</w:t>
            </w:r>
          </w:p>
        </w:tc>
      </w:tr>
      <w:tr w:rsidR="00CE6045" w:rsidRPr="00F35ED5" w14:paraId="1931B1AF" w14:textId="77777777" w:rsidTr="00F65C73">
        <w:trPr>
          <w:trHeight w:val="700"/>
        </w:trPr>
        <w:tc>
          <w:tcPr>
            <w:tcW w:w="1130" w:type="dxa"/>
            <w:tcBorders>
              <w:top w:val="nil"/>
              <w:left w:val="single" w:sz="4" w:space="0" w:color="auto"/>
              <w:bottom w:val="single" w:sz="4" w:space="0" w:color="auto"/>
              <w:right w:val="single" w:sz="4" w:space="0" w:color="auto"/>
            </w:tcBorders>
            <w:shd w:val="clear" w:color="000000" w:fill="FFFFFF"/>
            <w:vAlign w:val="center"/>
            <w:hideMark/>
          </w:tcPr>
          <w:p w14:paraId="4274E83D" w14:textId="77777777" w:rsidR="00CE6045" w:rsidRPr="00F35ED5" w:rsidRDefault="00CE6045" w:rsidP="00F65C73">
            <w:pPr>
              <w:spacing w:after="0" w:line="240" w:lineRule="auto"/>
              <w:jc w:val="center"/>
              <w:rPr>
                <w:rFonts w:ascii="Calibri" w:eastAsia="Times New Roman" w:hAnsi="Calibri" w:cs="Calibri"/>
                <w:b/>
                <w:bCs/>
                <w:color w:val="5B9BD5"/>
                <w:lang w:eastAsia="fr-FR"/>
              </w:rPr>
            </w:pPr>
            <w:r w:rsidRPr="00F35ED5">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19FE4241" w14:textId="77777777" w:rsidR="00CE6045" w:rsidRPr="00F35ED5" w:rsidRDefault="00CE6045" w:rsidP="00F65C73">
            <w:pPr>
              <w:spacing w:after="0" w:line="240" w:lineRule="auto"/>
              <w:jc w:val="center"/>
              <w:rPr>
                <w:rFonts w:ascii="Calibri" w:eastAsia="Times New Roman" w:hAnsi="Calibri" w:cs="Calibri"/>
                <w:lang w:eastAsia="fr-FR"/>
              </w:rPr>
            </w:pPr>
            <w:r w:rsidRPr="00F35ED5">
              <w:rPr>
                <w:rFonts w:ascii="Calibri" w:eastAsia="Times New Roman" w:hAnsi="Calibri" w:cs="Calibri"/>
                <w:lang w:eastAsia="fr-FR"/>
              </w:rPr>
              <w:t>SO01</w:t>
            </w:r>
          </w:p>
        </w:tc>
        <w:tc>
          <w:tcPr>
            <w:tcW w:w="4028" w:type="dxa"/>
            <w:tcBorders>
              <w:top w:val="nil"/>
              <w:left w:val="nil"/>
              <w:bottom w:val="single" w:sz="4" w:space="0" w:color="auto"/>
              <w:right w:val="single" w:sz="4" w:space="0" w:color="auto"/>
            </w:tcBorders>
            <w:shd w:val="clear" w:color="000000" w:fill="FFFFFF"/>
            <w:vAlign w:val="center"/>
            <w:hideMark/>
          </w:tcPr>
          <w:p w14:paraId="4A408623" w14:textId="77777777" w:rsidR="00CE6045" w:rsidRPr="00F35ED5" w:rsidRDefault="00CE6045" w:rsidP="00F65C73">
            <w:pPr>
              <w:spacing w:after="0" w:line="240" w:lineRule="auto"/>
              <w:rPr>
                <w:rFonts w:ascii="Calibri" w:eastAsia="Times New Roman" w:hAnsi="Calibri" w:cs="Calibri"/>
                <w:lang w:eastAsia="fr-FR"/>
              </w:rPr>
            </w:pPr>
            <w:r w:rsidRPr="00F35ED5">
              <w:rPr>
                <w:rFonts w:ascii="Calibri" w:eastAsia="Times New Roman" w:hAnsi="Calibri" w:cs="Calibri"/>
                <w:lang w:eastAsia="fr-FR"/>
              </w:rPr>
              <w:t xml:space="preserve">Nombre de nouveaux services numériques expérimentés à travers les projets soutenus par le FEDER </w:t>
            </w:r>
          </w:p>
        </w:tc>
        <w:tc>
          <w:tcPr>
            <w:tcW w:w="1122" w:type="dxa"/>
            <w:tcBorders>
              <w:top w:val="nil"/>
              <w:left w:val="nil"/>
              <w:bottom w:val="single" w:sz="4" w:space="0" w:color="auto"/>
              <w:right w:val="single" w:sz="4" w:space="0" w:color="auto"/>
            </w:tcBorders>
            <w:shd w:val="clear" w:color="000000" w:fill="FFFFFF"/>
            <w:vAlign w:val="center"/>
            <w:hideMark/>
          </w:tcPr>
          <w:p w14:paraId="2866D458" w14:textId="77777777" w:rsidR="00CE6045" w:rsidRPr="00F35ED5" w:rsidRDefault="00CE6045" w:rsidP="00F65C73">
            <w:pPr>
              <w:spacing w:after="0" w:line="240" w:lineRule="auto"/>
              <w:jc w:val="center"/>
              <w:rPr>
                <w:rFonts w:ascii="Calibri" w:eastAsia="Times New Roman" w:hAnsi="Calibri" w:cs="Calibri"/>
                <w:lang w:eastAsia="fr-FR"/>
              </w:rPr>
            </w:pPr>
            <w:r w:rsidRPr="00F35ED5">
              <w:rPr>
                <w:rFonts w:ascii="Calibri" w:eastAsia="Times New Roman" w:hAnsi="Calibri" w:cs="Calibri"/>
                <w:lang w:eastAsia="fr-FR"/>
              </w:rPr>
              <w:t>4</w:t>
            </w:r>
          </w:p>
        </w:tc>
        <w:tc>
          <w:tcPr>
            <w:tcW w:w="1122" w:type="dxa"/>
            <w:tcBorders>
              <w:top w:val="nil"/>
              <w:left w:val="nil"/>
              <w:bottom w:val="single" w:sz="4" w:space="0" w:color="auto"/>
              <w:right w:val="single" w:sz="4" w:space="0" w:color="auto"/>
            </w:tcBorders>
            <w:shd w:val="clear" w:color="000000" w:fill="FFFFFF"/>
            <w:vAlign w:val="center"/>
            <w:hideMark/>
          </w:tcPr>
          <w:p w14:paraId="0BECEF77" w14:textId="77777777" w:rsidR="00CE6045" w:rsidRPr="00F35ED5" w:rsidRDefault="00CE6045" w:rsidP="00F65C73">
            <w:pPr>
              <w:spacing w:after="0" w:line="240" w:lineRule="auto"/>
              <w:jc w:val="center"/>
              <w:rPr>
                <w:rFonts w:ascii="Calibri" w:eastAsia="Times New Roman" w:hAnsi="Calibri" w:cs="Calibri"/>
                <w:lang w:eastAsia="fr-FR"/>
              </w:rPr>
            </w:pPr>
            <w:r w:rsidRPr="00F35ED5">
              <w:rPr>
                <w:rFonts w:ascii="Calibri" w:eastAsia="Times New Roman" w:hAnsi="Calibri" w:cs="Calibri"/>
                <w:lang w:eastAsia="fr-FR"/>
              </w:rPr>
              <w:t>8</w:t>
            </w:r>
          </w:p>
        </w:tc>
        <w:tc>
          <w:tcPr>
            <w:tcW w:w="2403" w:type="dxa"/>
            <w:tcBorders>
              <w:top w:val="nil"/>
              <w:left w:val="nil"/>
              <w:bottom w:val="single" w:sz="4" w:space="0" w:color="auto"/>
              <w:right w:val="single" w:sz="4" w:space="0" w:color="auto"/>
            </w:tcBorders>
            <w:shd w:val="clear" w:color="000000" w:fill="FFFFFF"/>
            <w:vAlign w:val="center"/>
            <w:hideMark/>
          </w:tcPr>
          <w:p w14:paraId="1BAB6440" w14:textId="77777777" w:rsidR="00CE6045" w:rsidRPr="00F35ED5" w:rsidRDefault="00CE6045" w:rsidP="00F65C73">
            <w:pPr>
              <w:spacing w:after="0" w:line="240" w:lineRule="auto"/>
              <w:jc w:val="center"/>
              <w:rPr>
                <w:rFonts w:ascii="Calibri" w:eastAsia="Times New Roman" w:hAnsi="Calibri" w:cs="Calibri"/>
                <w:lang w:eastAsia="fr-FR"/>
              </w:rPr>
            </w:pPr>
            <w:r w:rsidRPr="00F35ED5">
              <w:rPr>
                <w:rFonts w:ascii="Calibri" w:eastAsia="Times New Roman" w:hAnsi="Calibri" w:cs="Calibri"/>
                <w:lang w:eastAsia="fr-FR"/>
              </w:rPr>
              <w:t>Bilan d'exécution</w:t>
            </w:r>
          </w:p>
        </w:tc>
      </w:tr>
      <w:tr w:rsidR="00CE6045" w:rsidRPr="00F35ED5" w14:paraId="107B7E36" w14:textId="77777777" w:rsidTr="00F65C73">
        <w:trPr>
          <w:trHeight w:val="233"/>
        </w:trPr>
        <w:tc>
          <w:tcPr>
            <w:tcW w:w="1130" w:type="dxa"/>
            <w:tcBorders>
              <w:top w:val="nil"/>
              <w:left w:val="single" w:sz="4" w:space="0" w:color="auto"/>
              <w:bottom w:val="single" w:sz="4" w:space="0" w:color="auto"/>
              <w:right w:val="single" w:sz="4" w:space="0" w:color="auto"/>
            </w:tcBorders>
            <w:shd w:val="clear" w:color="000000" w:fill="FFFFFF"/>
            <w:vAlign w:val="center"/>
            <w:hideMark/>
          </w:tcPr>
          <w:p w14:paraId="227A5686" w14:textId="77777777" w:rsidR="00CE6045" w:rsidRPr="00F35ED5" w:rsidRDefault="00CE6045" w:rsidP="00F65C73">
            <w:pPr>
              <w:spacing w:after="0" w:line="240" w:lineRule="auto"/>
              <w:jc w:val="center"/>
              <w:rPr>
                <w:rFonts w:ascii="Calibri" w:eastAsia="Times New Roman" w:hAnsi="Calibri" w:cs="Calibri"/>
                <w:b/>
                <w:bCs/>
                <w:color w:val="70AD47"/>
                <w:lang w:eastAsia="fr-FR"/>
              </w:rPr>
            </w:pPr>
            <w:r w:rsidRPr="00F35ED5">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4A562540" w14:textId="77777777" w:rsidR="00CE6045" w:rsidRPr="00F35ED5" w:rsidRDefault="00CE6045" w:rsidP="00F65C73">
            <w:pPr>
              <w:spacing w:after="0" w:line="240" w:lineRule="auto"/>
              <w:jc w:val="center"/>
              <w:rPr>
                <w:rFonts w:ascii="Calibri" w:eastAsia="Times New Roman" w:hAnsi="Calibri" w:cs="Calibri"/>
                <w:lang w:eastAsia="fr-FR"/>
              </w:rPr>
            </w:pPr>
            <w:r w:rsidRPr="00F35ED5">
              <w:rPr>
                <w:rFonts w:ascii="Calibri" w:eastAsia="Times New Roman" w:hAnsi="Calibri" w:cs="Calibri"/>
                <w:lang w:eastAsia="fr-FR"/>
              </w:rPr>
              <w:t>RCR11</w:t>
            </w:r>
          </w:p>
        </w:tc>
        <w:tc>
          <w:tcPr>
            <w:tcW w:w="4028" w:type="dxa"/>
            <w:tcBorders>
              <w:top w:val="nil"/>
              <w:left w:val="nil"/>
              <w:bottom w:val="single" w:sz="4" w:space="0" w:color="auto"/>
              <w:right w:val="single" w:sz="4" w:space="0" w:color="auto"/>
            </w:tcBorders>
            <w:shd w:val="clear" w:color="000000" w:fill="FFFFFF"/>
            <w:vAlign w:val="center"/>
            <w:hideMark/>
          </w:tcPr>
          <w:p w14:paraId="65DFE888" w14:textId="77777777" w:rsidR="00CE6045" w:rsidRPr="00F35ED5" w:rsidRDefault="00CE6045" w:rsidP="00F65C73">
            <w:pPr>
              <w:spacing w:after="0" w:line="240" w:lineRule="auto"/>
              <w:rPr>
                <w:rFonts w:ascii="Calibri" w:eastAsia="Times New Roman" w:hAnsi="Calibri" w:cs="Calibri"/>
                <w:lang w:eastAsia="fr-FR"/>
              </w:rPr>
            </w:pPr>
            <w:r w:rsidRPr="00F35ED5">
              <w:rPr>
                <w:rFonts w:ascii="Calibri" w:eastAsia="Times New Roman" w:hAnsi="Calibri" w:cs="Calibri"/>
                <w:lang w:eastAsia="fr-FR"/>
              </w:rPr>
              <w:t>Utilisateurs de services, produits et processus numériques publics, nouveaux et réaménagés</w:t>
            </w:r>
          </w:p>
        </w:tc>
        <w:tc>
          <w:tcPr>
            <w:tcW w:w="1122"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59E892E7" w14:textId="77777777" w:rsidR="00CE6045" w:rsidRPr="00F35ED5" w:rsidRDefault="00CE6045" w:rsidP="00F65C73">
            <w:pPr>
              <w:spacing w:after="0" w:line="240" w:lineRule="auto"/>
              <w:jc w:val="center"/>
              <w:rPr>
                <w:rFonts w:ascii="Calibri" w:eastAsia="Times New Roman" w:hAnsi="Calibri" w:cs="Calibri"/>
                <w:lang w:eastAsia="fr-FR"/>
              </w:rPr>
            </w:pPr>
            <w:r w:rsidRPr="00F35ED5">
              <w:rPr>
                <w:rFonts w:ascii="Calibri" w:eastAsia="Times New Roman" w:hAnsi="Calibri" w:cs="Calibri"/>
                <w:lang w:eastAsia="fr-FR"/>
              </w:rPr>
              <w:t> </w:t>
            </w:r>
          </w:p>
        </w:tc>
        <w:tc>
          <w:tcPr>
            <w:tcW w:w="1122" w:type="dxa"/>
            <w:tcBorders>
              <w:top w:val="nil"/>
              <w:left w:val="nil"/>
              <w:bottom w:val="single" w:sz="4" w:space="0" w:color="auto"/>
              <w:right w:val="single" w:sz="4" w:space="0" w:color="auto"/>
            </w:tcBorders>
            <w:shd w:val="clear" w:color="000000" w:fill="FFFFFF"/>
            <w:vAlign w:val="center"/>
            <w:hideMark/>
          </w:tcPr>
          <w:p w14:paraId="4A589E87" w14:textId="77777777" w:rsidR="00CE6045" w:rsidRPr="00F35ED5" w:rsidRDefault="00CE6045" w:rsidP="00F65C73">
            <w:pPr>
              <w:spacing w:after="0" w:line="240" w:lineRule="auto"/>
              <w:jc w:val="center"/>
              <w:rPr>
                <w:rFonts w:ascii="Calibri" w:eastAsia="Times New Roman" w:hAnsi="Calibri" w:cs="Calibri"/>
                <w:lang w:eastAsia="fr-FR"/>
              </w:rPr>
            </w:pPr>
            <w:r w:rsidRPr="00F35ED5">
              <w:rPr>
                <w:rFonts w:ascii="Calibri" w:eastAsia="Times New Roman" w:hAnsi="Calibri" w:cs="Calibri"/>
                <w:lang w:eastAsia="fr-FR"/>
              </w:rPr>
              <w:t>28 927</w:t>
            </w:r>
          </w:p>
        </w:tc>
        <w:tc>
          <w:tcPr>
            <w:tcW w:w="2403" w:type="dxa"/>
            <w:tcBorders>
              <w:top w:val="nil"/>
              <w:left w:val="nil"/>
              <w:bottom w:val="single" w:sz="4" w:space="0" w:color="auto"/>
              <w:right w:val="single" w:sz="4" w:space="0" w:color="auto"/>
            </w:tcBorders>
            <w:shd w:val="clear" w:color="000000" w:fill="FFFFFF"/>
            <w:vAlign w:val="center"/>
            <w:hideMark/>
          </w:tcPr>
          <w:p w14:paraId="44C68F7D" w14:textId="77777777" w:rsidR="00CE6045" w:rsidRPr="00F35ED5" w:rsidRDefault="00CE6045" w:rsidP="00F65C73">
            <w:pPr>
              <w:spacing w:after="0" w:line="240" w:lineRule="auto"/>
              <w:jc w:val="center"/>
              <w:rPr>
                <w:rFonts w:ascii="Calibri" w:eastAsia="Times New Roman" w:hAnsi="Calibri" w:cs="Calibri"/>
                <w:lang w:eastAsia="fr-FR"/>
              </w:rPr>
            </w:pPr>
            <w:r w:rsidRPr="00F35ED5">
              <w:rPr>
                <w:rFonts w:ascii="Calibri" w:eastAsia="Times New Roman" w:hAnsi="Calibri" w:cs="Calibri"/>
                <w:lang w:eastAsia="fr-FR"/>
              </w:rPr>
              <w:t>Attestation déclarative</w:t>
            </w:r>
          </w:p>
        </w:tc>
      </w:tr>
    </w:tbl>
    <w:p w14:paraId="6CA5A240" w14:textId="77777777" w:rsidR="00CE6045" w:rsidRDefault="00CE6045" w:rsidP="00CE6045">
      <w:pPr>
        <w:pStyle w:val="Sansinterligne"/>
        <w:jc w:val="both"/>
        <w:rPr>
          <w:b/>
          <w:bCs/>
          <w:color w:val="FFFFFF" w:themeColor="background1"/>
          <w:sz w:val="28"/>
          <w:szCs w:val="28"/>
          <w:shd w:val="clear" w:color="auto" w:fill="7030A0"/>
        </w:rPr>
      </w:pPr>
    </w:p>
    <w:p w14:paraId="294E59C7" w14:textId="77777777" w:rsidR="00CE6045" w:rsidRPr="002C70D5" w:rsidRDefault="00CE6045" w:rsidP="00CE6045">
      <w:pPr>
        <w:pStyle w:val="Sansinterligne"/>
        <w:shd w:val="clear" w:color="auto" w:fill="E2CFF1"/>
        <w:jc w:val="both"/>
        <w:rPr>
          <w:b/>
          <w:bCs/>
          <w:sz w:val="28"/>
          <w:szCs w:val="28"/>
        </w:rPr>
      </w:pPr>
      <w:r w:rsidRPr="00DB5B1E">
        <w:rPr>
          <w:b/>
          <w:bCs/>
          <w:color w:val="FFFFFF" w:themeColor="background1"/>
          <w:sz w:val="28"/>
          <w:szCs w:val="28"/>
          <w:shd w:val="clear" w:color="auto" w:fill="7030A0"/>
        </w:rPr>
        <w:t>PERFORMANCE </w:t>
      </w:r>
      <w:r>
        <w:rPr>
          <w:b/>
          <w:bCs/>
          <w:sz w:val="28"/>
          <w:szCs w:val="28"/>
        </w:rPr>
        <w:t xml:space="preserve"> </w:t>
      </w:r>
      <w:r>
        <w:rPr>
          <w:b/>
          <w:bCs/>
          <w:color w:val="002060"/>
          <w:sz w:val="28"/>
          <w:szCs w:val="28"/>
        </w:rPr>
        <w:t>Cibles financières à atteindre sur l’action</w:t>
      </w:r>
    </w:p>
    <w:p w14:paraId="3DD6E9C1" w14:textId="77777777" w:rsidR="00CE6045" w:rsidRDefault="00CE6045" w:rsidP="00CE6045">
      <w:pPr>
        <w:pStyle w:val="Sansinterligne"/>
        <w:jc w:val="both"/>
      </w:pPr>
    </w:p>
    <w:p w14:paraId="78D26F5F" w14:textId="77777777" w:rsidR="00CE6045" w:rsidRDefault="00CE6045" w:rsidP="00CE6045">
      <w:pPr>
        <w:pStyle w:val="Sansinterligne"/>
        <w:jc w:val="both"/>
        <w:rPr>
          <w:b/>
          <w:bCs/>
        </w:rPr>
      </w:pPr>
      <w:r w:rsidRPr="0056544B">
        <w:rPr>
          <w:b/>
          <w:bCs/>
        </w:rPr>
        <w:t>3 500 000 €</w:t>
      </w:r>
    </w:p>
    <w:p w14:paraId="49D75140" w14:textId="77777777" w:rsidR="00CE6045" w:rsidRDefault="00CE6045" w:rsidP="00CE6045">
      <w:pPr>
        <w:pStyle w:val="Sansinterligne"/>
        <w:jc w:val="both"/>
        <w:rPr>
          <w:b/>
          <w:bCs/>
        </w:rPr>
      </w:pPr>
    </w:p>
    <w:p w14:paraId="25CAB630" w14:textId="77777777" w:rsidR="00CE6045" w:rsidRDefault="00CE6045" w:rsidP="00CE6045">
      <w:pPr>
        <w:pStyle w:val="Sansinterligne"/>
        <w:jc w:val="both"/>
        <w:rPr>
          <w:b/>
          <w:bCs/>
        </w:rPr>
      </w:pPr>
    </w:p>
    <w:p w14:paraId="044716FE" w14:textId="77777777" w:rsidR="00CE6045" w:rsidRDefault="00CE6045" w:rsidP="00CE6045">
      <w:pPr>
        <w:pStyle w:val="Sansinterligne"/>
        <w:jc w:val="both"/>
        <w:rPr>
          <w:b/>
          <w:bCs/>
        </w:rPr>
      </w:pPr>
    </w:p>
    <w:p w14:paraId="4821A2D5" w14:textId="77777777" w:rsidR="00CE6045" w:rsidRDefault="00CE6045" w:rsidP="00CE6045">
      <w:pPr>
        <w:pStyle w:val="Sansinterligne"/>
        <w:jc w:val="both"/>
        <w:rPr>
          <w:b/>
          <w:bCs/>
        </w:rPr>
      </w:pPr>
    </w:p>
    <w:p w14:paraId="76C69FEC" w14:textId="77777777" w:rsidR="00CE6045" w:rsidRPr="0056544B" w:rsidRDefault="00CE6045" w:rsidP="00CE6045">
      <w:pPr>
        <w:pStyle w:val="Sansinterligne"/>
        <w:jc w:val="both"/>
        <w:rPr>
          <w:b/>
          <w:bCs/>
        </w:rPr>
      </w:pPr>
    </w:p>
    <w:p w14:paraId="3C077CAF" w14:textId="77777777" w:rsidR="00CE6045" w:rsidRDefault="00CE6045" w:rsidP="00CE6045">
      <w:pPr>
        <w:pStyle w:val="Sansinterligne"/>
        <w:jc w:val="both"/>
      </w:pPr>
    </w:p>
    <w:p w14:paraId="06471214" w14:textId="77777777" w:rsidR="00CE6045" w:rsidRPr="002C70D5" w:rsidRDefault="00CE6045" w:rsidP="00CE6045">
      <w:pPr>
        <w:pStyle w:val="Sansinterligne"/>
        <w:shd w:val="clear" w:color="auto" w:fill="E2CFF1"/>
        <w:jc w:val="both"/>
        <w:rPr>
          <w:b/>
          <w:bCs/>
          <w:sz w:val="28"/>
          <w:szCs w:val="28"/>
        </w:rPr>
      </w:pPr>
      <w:r w:rsidRPr="00DB5B1E">
        <w:rPr>
          <w:b/>
          <w:bCs/>
          <w:color w:val="FFFFFF" w:themeColor="background1"/>
          <w:sz w:val="28"/>
          <w:szCs w:val="28"/>
          <w:shd w:val="clear" w:color="auto" w:fill="7030A0"/>
        </w:rPr>
        <w:lastRenderedPageBreak/>
        <w:t>PERFORMANCE </w:t>
      </w:r>
      <w:r>
        <w:rPr>
          <w:b/>
          <w:bCs/>
          <w:sz w:val="28"/>
          <w:szCs w:val="28"/>
        </w:rPr>
        <w:t xml:space="preserve"> </w:t>
      </w:r>
      <w:r>
        <w:rPr>
          <w:b/>
          <w:bCs/>
          <w:color w:val="002060"/>
          <w:sz w:val="28"/>
          <w:szCs w:val="28"/>
        </w:rPr>
        <w:t>Instruments financiers applicables</w:t>
      </w:r>
    </w:p>
    <w:p w14:paraId="6F8D4E32" w14:textId="77777777" w:rsidR="00CE6045" w:rsidRDefault="00CE6045" w:rsidP="00CE6045">
      <w:pPr>
        <w:pStyle w:val="Sansinterligne"/>
        <w:jc w:val="both"/>
      </w:pPr>
    </w:p>
    <w:tbl>
      <w:tblPr>
        <w:tblStyle w:val="Grilledutableau"/>
        <w:tblW w:w="10632" w:type="dxa"/>
        <w:tblBorders>
          <w:top w:val="none" w:sz="0" w:space="0" w:color="auto"/>
          <w:left w:val="none" w:sz="0" w:space="0" w:color="auto"/>
        </w:tblBorders>
        <w:tblLook w:val="04A0" w:firstRow="1" w:lastRow="0" w:firstColumn="1" w:lastColumn="0" w:noHBand="0" w:noVBand="1"/>
      </w:tblPr>
      <w:tblGrid>
        <w:gridCol w:w="9067"/>
        <w:gridCol w:w="1565"/>
      </w:tblGrid>
      <w:tr w:rsidR="00CE6045" w14:paraId="5475BA6D" w14:textId="77777777" w:rsidTr="00F65C73">
        <w:tc>
          <w:tcPr>
            <w:tcW w:w="9067" w:type="dxa"/>
            <w:tcBorders>
              <w:bottom w:val="single" w:sz="4" w:space="0" w:color="auto"/>
            </w:tcBorders>
            <w:vAlign w:val="center"/>
          </w:tcPr>
          <w:p w14:paraId="1AFDD891" w14:textId="77777777" w:rsidR="00CE6045" w:rsidRDefault="00CE6045" w:rsidP="00F65C73">
            <w:pPr>
              <w:pStyle w:val="Sansinterligne"/>
              <w:jc w:val="center"/>
            </w:pPr>
          </w:p>
        </w:tc>
        <w:tc>
          <w:tcPr>
            <w:tcW w:w="1565" w:type="dxa"/>
            <w:tcBorders>
              <w:top w:val="single" w:sz="4" w:space="0" w:color="auto"/>
            </w:tcBorders>
            <w:vAlign w:val="center"/>
          </w:tcPr>
          <w:p w14:paraId="1769E4A8" w14:textId="77777777" w:rsidR="00CE6045" w:rsidRPr="003077B1" w:rsidRDefault="00CE6045" w:rsidP="00F65C73">
            <w:pPr>
              <w:pStyle w:val="Sansinterligne"/>
              <w:jc w:val="center"/>
              <w:rPr>
                <w:b/>
                <w:bCs/>
              </w:rPr>
            </w:pPr>
            <w:r w:rsidRPr="003077B1">
              <w:rPr>
                <w:b/>
                <w:bCs/>
                <w:color w:val="002060"/>
              </w:rPr>
              <w:t>Mobilisable sur l’action</w:t>
            </w:r>
          </w:p>
        </w:tc>
      </w:tr>
      <w:tr w:rsidR="00CE6045" w14:paraId="55321228" w14:textId="77777777" w:rsidTr="00F65C73">
        <w:tc>
          <w:tcPr>
            <w:tcW w:w="9067" w:type="dxa"/>
            <w:tcBorders>
              <w:top w:val="single" w:sz="4" w:space="0" w:color="auto"/>
              <w:left w:val="single" w:sz="4" w:space="0" w:color="auto"/>
            </w:tcBorders>
            <w:vAlign w:val="center"/>
          </w:tcPr>
          <w:p w14:paraId="437DC6AF" w14:textId="77777777" w:rsidR="00CE6045" w:rsidRDefault="00CE6045" w:rsidP="00F65C73">
            <w:pPr>
              <w:pStyle w:val="Sansinterligne"/>
            </w:pPr>
            <w:r>
              <w:t>1 – Subvention non remboursable</w:t>
            </w:r>
          </w:p>
        </w:tc>
        <w:tc>
          <w:tcPr>
            <w:tcW w:w="1565" w:type="dxa"/>
            <w:vAlign w:val="center"/>
          </w:tcPr>
          <w:p w14:paraId="4B3BEE4E" w14:textId="77777777" w:rsidR="00CE6045" w:rsidRDefault="00CE6045" w:rsidP="00F65C73">
            <w:pPr>
              <w:pStyle w:val="Sansinterligne"/>
              <w:jc w:val="center"/>
            </w:pPr>
            <w:r>
              <w:rPr>
                <w:b/>
                <w:bCs/>
                <w:noProof/>
                <w:color w:val="002060"/>
              </w:rPr>
              <w:drawing>
                <wp:inline distT="0" distB="0" distL="0" distR="0" wp14:anchorId="38DAE503" wp14:editId="40906760">
                  <wp:extent cx="262393" cy="262393"/>
                  <wp:effectExtent l="0" t="0" r="4445" b="4445"/>
                  <wp:docPr id="784945861" name="Graphique 784945861"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6745" cy="266745"/>
                          </a:xfrm>
                          <a:prstGeom prst="rect">
                            <a:avLst/>
                          </a:prstGeom>
                        </pic:spPr>
                      </pic:pic>
                    </a:graphicData>
                  </a:graphic>
                </wp:inline>
              </w:drawing>
            </w:r>
          </w:p>
        </w:tc>
      </w:tr>
      <w:tr w:rsidR="00CE6045" w14:paraId="68EC9537" w14:textId="77777777" w:rsidTr="00F65C73">
        <w:tc>
          <w:tcPr>
            <w:tcW w:w="9067" w:type="dxa"/>
            <w:tcBorders>
              <w:top w:val="single" w:sz="4" w:space="0" w:color="auto"/>
              <w:left w:val="single" w:sz="4" w:space="0" w:color="auto"/>
            </w:tcBorders>
            <w:vAlign w:val="center"/>
          </w:tcPr>
          <w:p w14:paraId="7CEF70FA" w14:textId="77777777" w:rsidR="00CE6045" w:rsidRDefault="00CE6045" w:rsidP="00F65C73">
            <w:pPr>
              <w:pStyle w:val="Sansinterligne"/>
            </w:pPr>
            <w:r>
              <w:t>2 – Subvention remboursable</w:t>
            </w:r>
          </w:p>
        </w:tc>
        <w:tc>
          <w:tcPr>
            <w:tcW w:w="1565" w:type="dxa"/>
            <w:vAlign w:val="center"/>
          </w:tcPr>
          <w:p w14:paraId="08CE2EF8" w14:textId="77777777" w:rsidR="00CE6045" w:rsidRDefault="00CE6045" w:rsidP="00F65C73">
            <w:pPr>
              <w:pStyle w:val="Sansinterligne"/>
              <w:jc w:val="center"/>
            </w:pPr>
            <w:r>
              <w:rPr>
                <w:b/>
                <w:bCs/>
                <w:noProof/>
                <w:color w:val="002060"/>
              </w:rPr>
              <w:drawing>
                <wp:inline distT="0" distB="0" distL="0" distR="0" wp14:anchorId="7EDAAC0E" wp14:editId="2607A1A7">
                  <wp:extent cx="230588" cy="230588"/>
                  <wp:effectExtent l="0" t="0" r="0" b="0"/>
                  <wp:docPr id="784945862" name="Graphique 78494586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CE6045" w14:paraId="77FB11E9" w14:textId="77777777" w:rsidTr="00F65C73">
        <w:tc>
          <w:tcPr>
            <w:tcW w:w="9067" w:type="dxa"/>
            <w:tcBorders>
              <w:top w:val="single" w:sz="4" w:space="0" w:color="auto"/>
              <w:left w:val="single" w:sz="4" w:space="0" w:color="auto"/>
            </w:tcBorders>
            <w:vAlign w:val="center"/>
          </w:tcPr>
          <w:p w14:paraId="572556DD" w14:textId="77777777" w:rsidR="00CE6045" w:rsidRDefault="00CE6045" w:rsidP="00F65C73">
            <w:pPr>
              <w:pStyle w:val="Sansinterligne"/>
            </w:pPr>
            <w:r>
              <w:t xml:space="preserve">3 – </w:t>
            </w:r>
            <w:r w:rsidRPr="003077B1">
              <w:t>Soutien par le biais d’instruments financiers : capital risque et de fonds propres ou équivalent</w:t>
            </w:r>
          </w:p>
        </w:tc>
        <w:tc>
          <w:tcPr>
            <w:tcW w:w="1565" w:type="dxa"/>
            <w:vAlign w:val="center"/>
          </w:tcPr>
          <w:p w14:paraId="4E824E1A" w14:textId="77777777" w:rsidR="00CE6045" w:rsidRDefault="00CE6045" w:rsidP="00F65C73">
            <w:pPr>
              <w:pStyle w:val="Sansinterligne"/>
              <w:jc w:val="center"/>
            </w:pPr>
            <w:r>
              <w:rPr>
                <w:b/>
                <w:bCs/>
                <w:noProof/>
                <w:color w:val="002060"/>
              </w:rPr>
              <w:drawing>
                <wp:inline distT="0" distB="0" distL="0" distR="0" wp14:anchorId="0DD15438" wp14:editId="3298A5F0">
                  <wp:extent cx="230588" cy="230588"/>
                  <wp:effectExtent l="0" t="0" r="0" b="0"/>
                  <wp:docPr id="784945863" name="Graphique 784945863"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CE6045" w14:paraId="397974D9" w14:textId="77777777" w:rsidTr="00F65C73">
        <w:tc>
          <w:tcPr>
            <w:tcW w:w="9067" w:type="dxa"/>
            <w:tcBorders>
              <w:top w:val="single" w:sz="4" w:space="0" w:color="auto"/>
              <w:left w:val="single" w:sz="4" w:space="0" w:color="auto"/>
            </w:tcBorders>
            <w:vAlign w:val="center"/>
          </w:tcPr>
          <w:p w14:paraId="75EB0902" w14:textId="77777777" w:rsidR="00CE6045" w:rsidRDefault="00CE6045" w:rsidP="00F65C73">
            <w:pPr>
              <w:pStyle w:val="Sansinterligne"/>
            </w:pPr>
            <w:r>
              <w:t xml:space="preserve">4 – </w:t>
            </w:r>
            <w:r w:rsidRPr="003077B1">
              <w:t>Soutien par le biais d’instruments financiers : prêt ou équivalent</w:t>
            </w:r>
          </w:p>
        </w:tc>
        <w:tc>
          <w:tcPr>
            <w:tcW w:w="1565" w:type="dxa"/>
            <w:vAlign w:val="center"/>
          </w:tcPr>
          <w:p w14:paraId="54C58B2F" w14:textId="77777777" w:rsidR="00CE6045" w:rsidRDefault="00CE6045" w:rsidP="00F65C73">
            <w:pPr>
              <w:pStyle w:val="Sansinterligne"/>
              <w:jc w:val="center"/>
            </w:pPr>
            <w:r>
              <w:rPr>
                <w:b/>
                <w:bCs/>
                <w:noProof/>
                <w:color w:val="002060"/>
              </w:rPr>
              <w:drawing>
                <wp:inline distT="0" distB="0" distL="0" distR="0" wp14:anchorId="2522A781" wp14:editId="3D80C5FF">
                  <wp:extent cx="230588" cy="230588"/>
                  <wp:effectExtent l="0" t="0" r="0" b="0"/>
                  <wp:docPr id="784945864" name="Graphique 78494586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CE6045" w14:paraId="06D7CD00" w14:textId="77777777" w:rsidTr="00F65C73">
        <w:tc>
          <w:tcPr>
            <w:tcW w:w="9067" w:type="dxa"/>
            <w:tcBorders>
              <w:top w:val="single" w:sz="4" w:space="0" w:color="auto"/>
              <w:left w:val="single" w:sz="4" w:space="0" w:color="auto"/>
            </w:tcBorders>
            <w:vAlign w:val="center"/>
          </w:tcPr>
          <w:p w14:paraId="03847C75" w14:textId="77777777" w:rsidR="00CE6045" w:rsidRDefault="00CE6045" w:rsidP="00F65C73">
            <w:pPr>
              <w:pStyle w:val="Sansinterligne"/>
            </w:pPr>
            <w:r>
              <w:t xml:space="preserve">5 – </w:t>
            </w:r>
            <w:r w:rsidRPr="003077B1">
              <w:t>Soutien par le biais d’instruments financiers : garantie ou équivalent</w:t>
            </w:r>
          </w:p>
        </w:tc>
        <w:tc>
          <w:tcPr>
            <w:tcW w:w="1565" w:type="dxa"/>
            <w:vAlign w:val="center"/>
          </w:tcPr>
          <w:p w14:paraId="0CA73CE5" w14:textId="77777777" w:rsidR="00CE6045" w:rsidRDefault="00CE6045" w:rsidP="00F65C73">
            <w:pPr>
              <w:pStyle w:val="Sansinterligne"/>
              <w:jc w:val="center"/>
            </w:pPr>
            <w:r>
              <w:rPr>
                <w:b/>
                <w:bCs/>
                <w:noProof/>
                <w:color w:val="002060"/>
              </w:rPr>
              <w:drawing>
                <wp:inline distT="0" distB="0" distL="0" distR="0" wp14:anchorId="1038A214" wp14:editId="67AE95F5">
                  <wp:extent cx="230588" cy="230588"/>
                  <wp:effectExtent l="0" t="0" r="0" b="0"/>
                  <wp:docPr id="784945865" name="Graphique 78494586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r w:rsidR="00CE6045" w14:paraId="72BF8D00" w14:textId="77777777" w:rsidTr="00F65C73">
        <w:tc>
          <w:tcPr>
            <w:tcW w:w="9067" w:type="dxa"/>
            <w:tcBorders>
              <w:top w:val="single" w:sz="4" w:space="0" w:color="auto"/>
              <w:left w:val="single" w:sz="4" w:space="0" w:color="auto"/>
            </w:tcBorders>
            <w:vAlign w:val="center"/>
          </w:tcPr>
          <w:p w14:paraId="1FE02822" w14:textId="77777777" w:rsidR="00CE6045" w:rsidRDefault="00CE6045" w:rsidP="00F65C73">
            <w:pPr>
              <w:pStyle w:val="Sansinterligne"/>
            </w:pPr>
            <w:r>
              <w:t xml:space="preserve">6 – </w:t>
            </w:r>
            <w:r w:rsidRPr="003077B1">
              <w:t>Soutien par le biais d’instruments financiers : bonifications d’intérêt, contributions aux primes de garantie, soutien technique ou équivalent</w:t>
            </w:r>
          </w:p>
        </w:tc>
        <w:tc>
          <w:tcPr>
            <w:tcW w:w="1565" w:type="dxa"/>
            <w:tcBorders>
              <w:top w:val="single" w:sz="4" w:space="0" w:color="auto"/>
            </w:tcBorders>
            <w:vAlign w:val="center"/>
          </w:tcPr>
          <w:p w14:paraId="75705D7D" w14:textId="77777777" w:rsidR="00CE6045" w:rsidRDefault="00CE6045" w:rsidP="00F65C73">
            <w:pPr>
              <w:pStyle w:val="Sansinterligne"/>
              <w:jc w:val="center"/>
            </w:pPr>
            <w:r>
              <w:rPr>
                <w:b/>
                <w:bCs/>
                <w:noProof/>
                <w:color w:val="002060"/>
              </w:rPr>
              <w:drawing>
                <wp:inline distT="0" distB="0" distL="0" distR="0" wp14:anchorId="2FBBB6CA" wp14:editId="4F60349B">
                  <wp:extent cx="230588" cy="230588"/>
                  <wp:effectExtent l="0" t="0" r="0" b="0"/>
                  <wp:docPr id="784945866" name="Graphique 78494586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557" cy="236557"/>
                          </a:xfrm>
                          <a:prstGeom prst="rect">
                            <a:avLst/>
                          </a:prstGeom>
                        </pic:spPr>
                      </pic:pic>
                    </a:graphicData>
                  </a:graphic>
                </wp:inline>
              </w:drawing>
            </w:r>
          </w:p>
        </w:tc>
      </w:tr>
    </w:tbl>
    <w:p w14:paraId="3C98DB23" w14:textId="77777777" w:rsidR="00CE6045" w:rsidRDefault="00CE6045" w:rsidP="00CE6045">
      <w:pPr>
        <w:pStyle w:val="Sansinterligne"/>
        <w:jc w:val="both"/>
      </w:pPr>
    </w:p>
    <w:p w14:paraId="4F1BB14B" w14:textId="77777777" w:rsidR="00CE6045" w:rsidRPr="002C70D5" w:rsidRDefault="00CE6045" w:rsidP="00CE6045">
      <w:pPr>
        <w:pStyle w:val="Sansinterligne"/>
        <w:shd w:val="clear" w:color="auto" w:fill="D9D9D9" w:themeFill="background1" w:themeFillShade="D9"/>
        <w:jc w:val="both"/>
        <w:rPr>
          <w:b/>
          <w:bCs/>
          <w:sz w:val="28"/>
          <w:szCs w:val="28"/>
        </w:rPr>
      </w:pPr>
      <w:r w:rsidRPr="00FD0AB3">
        <w:rPr>
          <w:b/>
          <w:bCs/>
          <w:color w:val="FFFFFF" w:themeColor="background1"/>
          <w:sz w:val="28"/>
          <w:szCs w:val="28"/>
          <w:shd w:val="clear" w:color="auto" w:fill="A5A5A5" w:themeFill="accent3"/>
        </w:rPr>
        <w:t xml:space="preserve">ADMINISTRATION </w:t>
      </w:r>
      <w:r>
        <w:rPr>
          <w:b/>
          <w:bCs/>
          <w:sz w:val="28"/>
          <w:szCs w:val="28"/>
        </w:rPr>
        <w:t xml:space="preserve">  </w:t>
      </w:r>
      <w:r>
        <w:rPr>
          <w:b/>
          <w:bCs/>
          <w:color w:val="002060"/>
          <w:sz w:val="28"/>
          <w:szCs w:val="28"/>
        </w:rPr>
        <w:t>Partie réservée à l’administration</w:t>
      </w:r>
    </w:p>
    <w:p w14:paraId="746D7371" w14:textId="77777777" w:rsidR="00CE6045" w:rsidRDefault="00CE6045" w:rsidP="00CE6045">
      <w:pPr>
        <w:pStyle w:val="Sansinterligne"/>
        <w:jc w:val="both"/>
      </w:pPr>
    </w:p>
    <w:p w14:paraId="25F2B727" w14:textId="77777777" w:rsidR="00CE6045" w:rsidRDefault="00CE6045" w:rsidP="00CE6045">
      <w:pPr>
        <w:pStyle w:val="Sansinterligne"/>
        <w:jc w:val="both"/>
      </w:pPr>
      <w:r w:rsidRPr="003077B1">
        <w:rPr>
          <w:b/>
          <w:bCs/>
          <w:color w:val="002060"/>
        </w:rPr>
        <w:t>Service instructeur :</w:t>
      </w:r>
      <w:r>
        <w:t xml:space="preserve"> service PO FEDER-FSE – Direction Europe et International – Conseil régional Centre-Val de Loire</w:t>
      </w:r>
    </w:p>
    <w:p w14:paraId="6B692BCE" w14:textId="77777777" w:rsidR="00CE6045" w:rsidRDefault="00CE6045" w:rsidP="00CE6045">
      <w:pPr>
        <w:pStyle w:val="Sansinterligne"/>
        <w:jc w:val="both"/>
        <w:rPr>
          <w:b/>
          <w:bCs/>
          <w:color w:val="002060"/>
        </w:rPr>
      </w:pPr>
    </w:p>
    <w:p w14:paraId="3CC27978" w14:textId="77777777" w:rsidR="00CE6045" w:rsidRDefault="00CE6045" w:rsidP="00CE6045">
      <w:pPr>
        <w:pStyle w:val="Sansinterligne"/>
        <w:jc w:val="both"/>
        <w:rPr>
          <w:b/>
          <w:bCs/>
        </w:rPr>
      </w:pPr>
      <w:r w:rsidRPr="003077B1">
        <w:rPr>
          <w:b/>
          <w:bCs/>
          <w:color w:val="002060"/>
        </w:rPr>
        <w:t>Services et organismes consultés pour avis :</w:t>
      </w:r>
      <w:r w:rsidRPr="003077B1">
        <w:rPr>
          <w:b/>
          <w:bCs/>
        </w:rPr>
        <w:t xml:space="preserve"> </w:t>
      </w:r>
    </w:p>
    <w:p w14:paraId="0BBABF59" w14:textId="77777777" w:rsidR="00CE6045" w:rsidRPr="0056544B" w:rsidRDefault="00CE6045" w:rsidP="00CE6045">
      <w:pPr>
        <w:pStyle w:val="Sansinterligne"/>
        <w:numPr>
          <w:ilvl w:val="0"/>
          <w:numId w:val="1"/>
        </w:numPr>
        <w:jc w:val="both"/>
        <w:rPr>
          <w:b/>
          <w:bCs/>
        </w:rPr>
      </w:pPr>
      <w:r w:rsidRPr="0056544B">
        <w:t>Direction d</w:t>
      </w:r>
      <w:r w:rsidRPr="0056544B">
        <w:rPr>
          <w:rStyle w:val="profil-department"/>
        </w:rPr>
        <w:t>e l'Appui à la Donnée, Au Pilotage et aux Transitions</w:t>
      </w:r>
      <w:r w:rsidRPr="0056544B">
        <w:t xml:space="preserve"> (ADAPT) – Conseil régional- Centre-Val de Loire</w:t>
      </w:r>
    </w:p>
    <w:p w14:paraId="164B6924" w14:textId="77777777" w:rsidR="00CE6045" w:rsidRDefault="00CE6045" w:rsidP="00CE6045">
      <w:pPr>
        <w:pStyle w:val="Sansinterligne"/>
        <w:numPr>
          <w:ilvl w:val="0"/>
          <w:numId w:val="1"/>
        </w:numPr>
        <w:jc w:val="both"/>
      </w:pPr>
      <w:r>
        <w:t>Direction de l’Enseignement Supérieur, de la Recherche et du Transfert de Technologies (DESRTT) – Conseil régional Centre-Val de Loire</w:t>
      </w:r>
    </w:p>
    <w:p w14:paraId="660D3935" w14:textId="77777777" w:rsidR="00CE6045" w:rsidRDefault="00CE6045" w:rsidP="00CE6045">
      <w:pPr>
        <w:pStyle w:val="Sansinterligne"/>
        <w:numPr>
          <w:ilvl w:val="0"/>
          <w:numId w:val="1"/>
        </w:numPr>
        <w:jc w:val="both"/>
      </w:pPr>
      <w:r>
        <w:t>Direction de l’Economie (DE) – Conseil régional Centre-Val de Loire</w:t>
      </w:r>
    </w:p>
    <w:p w14:paraId="245889C3" w14:textId="77777777" w:rsidR="00CE6045" w:rsidRDefault="00CE6045" w:rsidP="00CE6045">
      <w:pPr>
        <w:pStyle w:val="Sansinterligne"/>
        <w:numPr>
          <w:ilvl w:val="0"/>
          <w:numId w:val="1"/>
        </w:numPr>
        <w:jc w:val="both"/>
      </w:pPr>
      <w:r>
        <w:t>Délégation Régionale Académique à la Recherche et à l’Innovation (DRARI) – Etat</w:t>
      </w:r>
    </w:p>
    <w:p w14:paraId="73A9B9B4" w14:textId="77777777" w:rsidR="00CE6045" w:rsidRPr="00185387" w:rsidRDefault="00CE6045" w:rsidP="00CE6045">
      <w:pPr>
        <w:pStyle w:val="Sansinterligne"/>
        <w:numPr>
          <w:ilvl w:val="0"/>
          <w:numId w:val="1"/>
        </w:numPr>
        <w:jc w:val="both"/>
      </w:pPr>
      <w:r>
        <w:t>Direction Régionale de l’Economie, de l’Emploi, du Travail et des Solidarités (DREETS) - Etat</w:t>
      </w:r>
    </w:p>
    <w:p w14:paraId="5146339D" w14:textId="77777777" w:rsidR="00CE6045" w:rsidRDefault="00CE6045" w:rsidP="00CE6045">
      <w:pPr>
        <w:pStyle w:val="Sansinterligne"/>
        <w:jc w:val="both"/>
      </w:pPr>
    </w:p>
    <w:p w14:paraId="0D36E661" w14:textId="77777777" w:rsidR="00CE6045" w:rsidRDefault="00CE6045" w:rsidP="00CE6045">
      <w:pPr>
        <w:pStyle w:val="Sansinterligne"/>
        <w:jc w:val="both"/>
      </w:pPr>
      <w:r w:rsidRPr="00674BBC">
        <w:rPr>
          <w:b/>
          <w:bCs/>
          <w:color w:val="002060"/>
        </w:rPr>
        <w:t>Organismes à consulter pour information :</w:t>
      </w:r>
      <w:r w:rsidRPr="00674BBC">
        <w:rPr>
          <w:color w:val="002060"/>
        </w:rPr>
        <w:t xml:space="preserve"> </w:t>
      </w:r>
      <w:r>
        <w:t>sans objet</w:t>
      </w:r>
    </w:p>
    <w:p w14:paraId="0E30D0A3" w14:textId="77777777" w:rsidR="00CE6045" w:rsidRDefault="00CE6045" w:rsidP="00CE6045">
      <w:pPr>
        <w:pStyle w:val="Sansinterligne"/>
        <w:jc w:val="both"/>
      </w:pPr>
    </w:p>
    <w:p w14:paraId="01C0B5F1" w14:textId="77777777" w:rsidR="00CE6045" w:rsidRPr="009F0728" w:rsidRDefault="00CE6045" w:rsidP="00CE6045">
      <w:pPr>
        <w:pStyle w:val="Sansinterligne"/>
        <w:jc w:val="both"/>
      </w:pPr>
      <w:r w:rsidRPr="00FD0AB3">
        <w:rPr>
          <w:b/>
          <w:bCs/>
          <w:color w:val="FFFFFF" w:themeColor="background1"/>
          <w:sz w:val="28"/>
          <w:szCs w:val="28"/>
          <w:shd w:val="clear" w:color="auto" w:fill="A5A5A5" w:themeFill="accent3"/>
        </w:rPr>
        <w:t xml:space="preserve">ADMINISTRATION </w:t>
      </w:r>
      <w:r>
        <w:rPr>
          <w:b/>
          <w:bCs/>
          <w:sz w:val="28"/>
          <w:szCs w:val="28"/>
        </w:rPr>
        <w:t xml:space="preserve">  </w:t>
      </w:r>
      <w:r>
        <w:rPr>
          <w:b/>
          <w:bCs/>
          <w:color w:val="002060"/>
          <w:sz w:val="28"/>
          <w:szCs w:val="28"/>
        </w:rPr>
        <w:t>Catégories d’intervention</w:t>
      </w:r>
    </w:p>
    <w:p w14:paraId="59107EEB" w14:textId="77777777" w:rsidR="00CE6045" w:rsidRDefault="00CE6045" w:rsidP="00CE6045">
      <w:pPr>
        <w:pStyle w:val="Sansinterligne"/>
        <w:jc w:val="both"/>
      </w:pPr>
    </w:p>
    <w:tbl>
      <w:tblPr>
        <w:tblStyle w:val="Grilledutableau"/>
        <w:tblW w:w="10627" w:type="dxa"/>
        <w:tblLook w:val="04A0" w:firstRow="1" w:lastRow="0" w:firstColumn="1" w:lastColumn="0" w:noHBand="0" w:noVBand="1"/>
      </w:tblPr>
      <w:tblGrid>
        <w:gridCol w:w="3256"/>
        <w:gridCol w:w="7371"/>
      </w:tblGrid>
      <w:tr w:rsidR="00CE6045" w14:paraId="5B59D2AA" w14:textId="77777777" w:rsidTr="00F65C73">
        <w:tc>
          <w:tcPr>
            <w:tcW w:w="3256" w:type="dxa"/>
            <w:vAlign w:val="center"/>
          </w:tcPr>
          <w:p w14:paraId="68E1E931" w14:textId="77777777" w:rsidR="00CE6045" w:rsidRPr="00D6168A" w:rsidRDefault="00CE6045" w:rsidP="00F65C73">
            <w:pPr>
              <w:pStyle w:val="Sansinterligne"/>
              <w:rPr>
                <w:b/>
                <w:bCs/>
                <w:color w:val="002060"/>
                <w:sz w:val="20"/>
                <w:szCs w:val="20"/>
              </w:rPr>
            </w:pPr>
            <w:r w:rsidRPr="00D6168A">
              <w:rPr>
                <w:b/>
                <w:bCs/>
                <w:color w:val="002060"/>
                <w:sz w:val="20"/>
                <w:szCs w:val="20"/>
              </w:rPr>
              <w:t>Domaine d’intervention</w:t>
            </w:r>
          </w:p>
        </w:tc>
        <w:tc>
          <w:tcPr>
            <w:tcW w:w="7371" w:type="dxa"/>
            <w:vAlign w:val="center"/>
          </w:tcPr>
          <w:p w14:paraId="3DBBFC41" w14:textId="77777777" w:rsidR="00CE6045" w:rsidRDefault="00CE6045" w:rsidP="00F65C73">
            <w:pPr>
              <w:pStyle w:val="Sansinterligne"/>
              <w:rPr>
                <w:sz w:val="20"/>
                <w:szCs w:val="20"/>
              </w:rPr>
            </w:pPr>
            <w:r>
              <w:rPr>
                <w:sz w:val="20"/>
                <w:szCs w:val="20"/>
              </w:rPr>
              <w:t xml:space="preserve">013 </w:t>
            </w:r>
            <w:r w:rsidRPr="005E37BD">
              <w:rPr>
                <w:sz w:val="20"/>
                <w:szCs w:val="20"/>
              </w:rPr>
              <w:t>Numérisation des PME (y compris le commerce électronique, l'e-business et les processus d'entreprise en réseau, les pôles d'innovation numérique, les laboratoires vivants, les entrepreneurs web et les start-ups spécialisées dans les TIC, B2B)</w:t>
            </w:r>
          </w:p>
          <w:p w14:paraId="6FC92253" w14:textId="77777777" w:rsidR="00CE6045" w:rsidRDefault="00CE6045" w:rsidP="00F65C73">
            <w:pPr>
              <w:pStyle w:val="Sansinterligne"/>
              <w:rPr>
                <w:sz w:val="20"/>
                <w:szCs w:val="20"/>
              </w:rPr>
            </w:pPr>
            <w:r>
              <w:rPr>
                <w:sz w:val="20"/>
                <w:szCs w:val="20"/>
              </w:rPr>
              <w:t xml:space="preserve">014 </w:t>
            </w:r>
            <w:r w:rsidRPr="00081F3A">
              <w:rPr>
                <w:sz w:val="20"/>
                <w:szCs w:val="20"/>
              </w:rPr>
              <w:t>Numérisation des grandes entreprises (y compris le commerce électronique, l'e-business et les processus d'entreprise en réseau, les pôles d'innovation numérique, les laboratoires vivants, les entrepreneurs web et les start-ups spécialisées dans les TIC, B2B)</w:t>
            </w:r>
          </w:p>
          <w:p w14:paraId="1236CCC1" w14:textId="77777777" w:rsidR="00CE6045" w:rsidRPr="00FD0AB3" w:rsidRDefault="00CE6045" w:rsidP="00F65C73">
            <w:pPr>
              <w:pStyle w:val="Sansinterligne"/>
              <w:rPr>
                <w:sz w:val="20"/>
                <w:szCs w:val="20"/>
              </w:rPr>
            </w:pPr>
            <w:r>
              <w:rPr>
                <w:sz w:val="20"/>
                <w:szCs w:val="20"/>
              </w:rPr>
              <w:t xml:space="preserve">018 </w:t>
            </w:r>
            <w:r w:rsidRPr="00081F3A">
              <w:rPr>
                <w:sz w:val="20"/>
                <w:szCs w:val="20"/>
              </w:rPr>
              <w:t>Services et applications informatiques pour les compétences numériques et l'inclusion numérique</w:t>
            </w:r>
          </w:p>
        </w:tc>
      </w:tr>
      <w:tr w:rsidR="00CE6045" w14:paraId="62C15C00" w14:textId="77777777" w:rsidTr="00F65C73">
        <w:tc>
          <w:tcPr>
            <w:tcW w:w="3256" w:type="dxa"/>
            <w:vAlign w:val="center"/>
          </w:tcPr>
          <w:p w14:paraId="1FF3B9B2" w14:textId="77777777" w:rsidR="00CE6045" w:rsidRPr="00D6168A" w:rsidRDefault="00CE6045" w:rsidP="00F65C73">
            <w:pPr>
              <w:pStyle w:val="Sansinterligne"/>
              <w:rPr>
                <w:b/>
                <w:bCs/>
                <w:color w:val="002060"/>
                <w:sz w:val="20"/>
                <w:szCs w:val="20"/>
              </w:rPr>
            </w:pPr>
            <w:r w:rsidRPr="00D6168A">
              <w:rPr>
                <w:b/>
                <w:bCs/>
                <w:color w:val="002060"/>
                <w:sz w:val="20"/>
                <w:szCs w:val="20"/>
              </w:rPr>
              <w:t>Forme de financement</w:t>
            </w:r>
          </w:p>
        </w:tc>
        <w:tc>
          <w:tcPr>
            <w:tcW w:w="7371" w:type="dxa"/>
            <w:vAlign w:val="center"/>
          </w:tcPr>
          <w:p w14:paraId="6427B7C1" w14:textId="77777777" w:rsidR="00CE6045" w:rsidRPr="00FD0AB3" w:rsidRDefault="00CE6045" w:rsidP="00F65C73">
            <w:pPr>
              <w:pStyle w:val="Sansinterligne"/>
              <w:rPr>
                <w:sz w:val="20"/>
                <w:szCs w:val="20"/>
              </w:rPr>
            </w:pPr>
            <w:r w:rsidRPr="00FD0AB3">
              <w:rPr>
                <w:sz w:val="20"/>
                <w:szCs w:val="20"/>
              </w:rPr>
              <w:t>01 Subvention</w:t>
            </w:r>
          </w:p>
        </w:tc>
      </w:tr>
      <w:tr w:rsidR="00CE6045" w14:paraId="5E6B3990" w14:textId="77777777" w:rsidTr="00F65C73">
        <w:tc>
          <w:tcPr>
            <w:tcW w:w="3256" w:type="dxa"/>
            <w:vAlign w:val="center"/>
          </w:tcPr>
          <w:p w14:paraId="2EF353A1" w14:textId="77777777" w:rsidR="00CE6045" w:rsidRPr="00D6168A" w:rsidRDefault="00CE6045" w:rsidP="00F65C73">
            <w:pPr>
              <w:pStyle w:val="Sansinterligne"/>
              <w:rPr>
                <w:b/>
                <w:bCs/>
                <w:color w:val="002060"/>
                <w:sz w:val="20"/>
                <w:szCs w:val="20"/>
              </w:rPr>
            </w:pPr>
            <w:r w:rsidRPr="00D6168A">
              <w:rPr>
                <w:b/>
                <w:bCs/>
                <w:color w:val="002060"/>
                <w:sz w:val="20"/>
                <w:szCs w:val="20"/>
              </w:rPr>
              <w:t>Mécanisme d’application territorial et approche territoriale</w:t>
            </w:r>
          </w:p>
        </w:tc>
        <w:tc>
          <w:tcPr>
            <w:tcW w:w="7371" w:type="dxa"/>
            <w:vAlign w:val="center"/>
          </w:tcPr>
          <w:p w14:paraId="47DC02FB" w14:textId="77777777" w:rsidR="00CE6045" w:rsidRPr="00FD0AB3" w:rsidRDefault="00CE6045" w:rsidP="00F65C73">
            <w:pPr>
              <w:pStyle w:val="Sansinterligne"/>
              <w:rPr>
                <w:sz w:val="20"/>
                <w:szCs w:val="20"/>
              </w:rPr>
            </w:pPr>
            <w:r w:rsidRPr="00D6168A">
              <w:rPr>
                <w:sz w:val="20"/>
                <w:szCs w:val="20"/>
              </w:rPr>
              <w:t xml:space="preserve">33 Autres approches </w:t>
            </w:r>
            <w:r>
              <w:rPr>
                <w:sz w:val="20"/>
                <w:szCs w:val="20"/>
              </w:rPr>
              <w:t>-</w:t>
            </w:r>
            <w:r w:rsidRPr="00D6168A">
              <w:rPr>
                <w:sz w:val="20"/>
                <w:szCs w:val="20"/>
              </w:rPr>
              <w:t xml:space="preserve"> Pas de ciblage géographique</w:t>
            </w:r>
          </w:p>
        </w:tc>
      </w:tr>
      <w:tr w:rsidR="00CE6045" w14:paraId="7DF0A6A9" w14:textId="77777777" w:rsidTr="00F65C73">
        <w:tc>
          <w:tcPr>
            <w:tcW w:w="3256" w:type="dxa"/>
            <w:vAlign w:val="center"/>
          </w:tcPr>
          <w:p w14:paraId="528C361C" w14:textId="77777777" w:rsidR="00CE6045" w:rsidRPr="00D6168A" w:rsidRDefault="00CE6045" w:rsidP="00F65C73">
            <w:pPr>
              <w:pStyle w:val="Sansinterligne"/>
              <w:rPr>
                <w:b/>
                <w:bCs/>
                <w:color w:val="002060"/>
                <w:sz w:val="20"/>
                <w:szCs w:val="20"/>
              </w:rPr>
            </w:pPr>
            <w:r>
              <w:rPr>
                <w:b/>
                <w:bCs/>
                <w:color w:val="002060"/>
                <w:sz w:val="20"/>
                <w:szCs w:val="20"/>
              </w:rPr>
              <w:t>Egalité entre les hommes et les femmes</w:t>
            </w:r>
          </w:p>
        </w:tc>
        <w:tc>
          <w:tcPr>
            <w:tcW w:w="7371" w:type="dxa"/>
            <w:vAlign w:val="center"/>
          </w:tcPr>
          <w:p w14:paraId="6804A01E" w14:textId="77777777" w:rsidR="00CE6045" w:rsidRDefault="00CE6045" w:rsidP="00F65C73">
            <w:pPr>
              <w:pStyle w:val="Sansinterligne"/>
              <w:rPr>
                <w:sz w:val="20"/>
                <w:szCs w:val="20"/>
              </w:rPr>
            </w:pPr>
            <w:r w:rsidRPr="007D22B5">
              <w:rPr>
                <w:sz w:val="20"/>
                <w:szCs w:val="20"/>
              </w:rPr>
              <w:t>02 Intégration des questions d'égalité entre les hommes et les femmes</w:t>
            </w:r>
          </w:p>
          <w:p w14:paraId="147F97D6" w14:textId="77777777" w:rsidR="00CE6045" w:rsidRPr="00D6168A" w:rsidRDefault="00CE6045" w:rsidP="00F65C73">
            <w:pPr>
              <w:pStyle w:val="Sansinterligne"/>
              <w:rPr>
                <w:sz w:val="20"/>
                <w:szCs w:val="20"/>
              </w:rPr>
            </w:pPr>
            <w:r>
              <w:rPr>
                <w:sz w:val="20"/>
                <w:szCs w:val="20"/>
              </w:rPr>
              <w:t>03 Neutralité du point de vue de l’égalité entre les hommes et les femmes</w:t>
            </w:r>
          </w:p>
        </w:tc>
      </w:tr>
    </w:tbl>
    <w:p w14:paraId="14368AE6" w14:textId="77777777" w:rsidR="00CE6045" w:rsidRDefault="00CE6045" w:rsidP="00CE6045">
      <w:pPr>
        <w:pStyle w:val="Sansinterligne"/>
        <w:jc w:val="both"/>
      </w:pPr>
    </w:p>
    <w:p w14:paraId="0B7B4371" w14:textId="77777777" w:rsidR="00CE6045" w:rsidRPr="002C70D5" w:rsidRDefault="00CE6045" w:rsidP="00CE6045">
      <w:pPr>
        <w:pStyle w:val="Sansinterligne"/>
        <w:shd w:val="clear" w:color="auto" w:fill="B7ECFF"/>
        <w:jc w:val="both"/>
        <w:rPr>
          <w:b/>
          <w:bCs/>
          <w:sz w:val="28"/>
          <w:szCs w:val="28"/>
        </w:rPr>
      </w:pPr>
      <w:r w:rsidRPr="00D6168A">
        <w:rPr>
          <w:b/>
          <w:bCs/>
          <w:color w:val="FFFFFF" w:themeColor="background1"/>
          <w:sz w:val="28"/>
          <w:szCs w:val="28"/>
          <w:shd w:val="clear" w:color="auto" w:fill="00B0F0"/>
        </w:rPr>
        <w:t xml:space="preserve">CONTACT </w:t>
      </w:r>
      <w:r>
        <w:rPr>
          <w:b/>
          <w:bCs/>
          <w:sz w:val="28"/>
          <w:szCs w:val="28"/>
        </w:rPr>
        <w:t xml:space="preserve">  </w:t>
      </w:r>
      <w:r>
        <w:rPr>
          <w:b/>
          <w:bCs/>
          <w:color w:val="002060"/>
          <w:sz w:val="28"/>
          <w:szCs w:val="28"/>
        </w:rPr>
        <w:t>Service(s) en charge de l’instruction des dossiers</w:t>
      </w:r>
    </w:p>
    <w:p w14:paraId="12D70E23" w14:textId="77777777" w:rsidR="00CE6045" w:rsidRDefault="00CE6045" w:rsidP="00CE6045">
      <w:pPr>
        <w:pStyle w:val="Sansinterligne"/>
        <w:jc w:val="both"/>
      </w:pPr>
    </w:p>
    <w:p w14:paraId="5F45FE26" w14:textId="77777777" w:rsidR="00CE6045" w:rsidRDefault="00CE6045" w:rsidP="00CE6045">
      <w:pPr>
        <w:pStyle w:val="Sansinterligne"/>
        <w:jc w:val="both"/>
      </w:pPr>
      <w:r w:rsidRPr="00D6168A">
        <w:rPr>
          <w:b/>
          <w:bCs/>
          <w:color w:val="002060"/>
        </w:rPr>
        <w:t>Contact :</w:t>
      </w:r>
      <w:r>
        <w:t xml:space="preserve"> Conseil régional Centre-Val de Loire, Direction Europe et International, </w:t>
      </w:r>
      <w:r w:rsidRPr="00B0477C">
        <w:t>Service Programmation des Fonds européens FEDER FSE+</w:t>
      </w:r>
    </w:p>
    <w:p w14:paraId="1B33E2CE" w14:textId="77777777" w:rsidR="00CE6045" w:rsidRDefault="00CE6045" w:rsidP="00CE6045">
      <w:pPr>
        <w:pStyle w:val="Sansinterligne"/>
        <w:jc w:val="both"/>
      </w:pPr>
    </w:p>
    <w:p w14:paraId="3090BB00" w14:textId="77777777" w:rsidR="00CE6045" w:rsidRDefault="00CE6045" w:rsidP="00CE6045">
      <w:pPr>
        <w:pStyle w:val="Sansinterligne"/>
        <w:jc w:val="both"/>
      </w:pPr>
      <w:r>
        <w:rPr>
          <w:noProof/>
        </w:rPr>
        <w:drawing>
          <wp:inline distT="0" distB="0" distL="0" distR="0" wp14:anchorId="38CEF441" wp14:editId="767D2233">
            <wp:extent cx="204826" cy="204826"/>
            <wp:effectExtent l="0" t="0" r="5080" b="5080"/>
            <wp:docPr id="784945674" name="Graphique 784945674"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4826" cy="204826"/>
                    </a:xfrm>
                    <a:prstGeom prst="rect">
                      <a:avLst/>
                    </a:prstGeom>
                  </pic:spPr>
                </pic:pic>
              </a:graphicData>
            </a:graphic>
          </wp:inline>
        </w:drawing>
      </w:r>
      <w:r>
        <w:t xml:space="preserve"> : </w:t>
      </w:r>
      <w:hyperlink r:id="rId14" w:history="1">
        <w:r w:rsidRPr="00E4771E">
          <w:rPr>
            <w:rStyle w:val="Lienhypertexte"/>
          </w:rPr>
          <w:t>ext-europe@centrevaldeloire.fr</w:t>
        </w:r>
      </w:hyperlink>
    </w:p>
    <w:p w14:paraId="6B4BEC6A" w14:textId="77777777" w:rsidR="001447F3" w:rsidRDefault="001447F3" w:rsidP="001447F3">
      <w:pPr>
        <w:pStyle w:val="Sansinterligne"/>
        <w:jc w:val="both"/>
      </w:pPr>
    </w:p>
    <w:p w14:paraId="2F9224F7" w14:textId="77777777" w:rsidR="003004C5" w:rsidRDefault="003004C5" w:rsidP="001447F3">
      <w:pPr>
        <w:rPr>
          <w:rFonts w:ascii="Calibri" w:hAnsi="Calibri" w:cs="Calibri"/>
        </w:rPr>
      </w:pPr>
    </w:p>
    <w:sectPr w:rsidR="003004C5" w:rsidSect="000E1C19">
      <w:pgSz w:w="11906" w:h="16838"/>
      <w:pgMar w:top="567"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074"/>
    <w:multiLevelType w:val="hybridMultilevel"/>
    <w:tmpl w:val="BD62D0B2"/>
    <w:lvl w:ilvl="0" w:tplc="BD420C8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10DAD"/>
    <w:multiLevelType w:val="hybridMultilevel"/>
    <w:tmpl w:val="CCC65E0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07984"/>
    <w:multiLevelType w:val="hybridMultilevel"/>
    <w:tmpl w:val="F03AA54A"/>
    <w:lvl w:ilvl="0" w:tplc="C3ECB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F94368"/>
    <w:multiLevelType w:val="hybridMultilevel"/>
    <w:tmpl w:val="6F987CF4"/>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673CCA"/>
    <w:multiLevelType w:val="hybridMultilevel"/>
    <w:tmpl w:val="A03A7D6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850BAE"/>
    <w:multiLevelType w:val="hybridMultilevel"/>
    <w:tmpl w:val="821AC78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42694E"/>
    <w:multiLevelType w:val="hybridMultilevel"/>
    <w:tmpl w:val="660C5D60"/>
    <w:lvl w:ilvl="0" w:tplc="7EF267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884C17"/>
    <w:multiLevelType w:val="hybridMultilevel"/>
    <w:tmpl w:val="90D0FD5C"/>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F2389C"/>
    <w:multiLevelType w:val="hybridMultilevel"/>
    <w:tmpl w:val="EC6EE32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602F43"/>
    <w:multiLevelType w:val="hybridMultilevel"/>
    <w:tmpl w:val="CAF6C69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036D7E"/>
    <w:multiLevelType w:val="hybridMultilevel"/>
    <w:tmpl w:val="AF62B8D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2653EC"/>
    <w:multiLevelType w:val="hybridMultilevel"/>
    <w:tmpl w:val="B2804E82"/>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963DAD"/>
    <w:multiLevelType w:val="hybridMultilevel"/>
    <w:tmpl w:val="BD24C21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E20341"/>
    <w:multiLevelType w:val="hybridMultilevel"/>
    <w:tmpl w:val="82381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DCF7095"/>
    <w:multiLevelType w:val="hybridMultilevel"/>
    <w:tmpl w:val="904423DE"/>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E10E8E"/>
    <w:multiLevelType w:val="hybridMultilevel"/>
    <w:tmpl w:val="2E607E28"/>
    <w:lvl w:ilvl="0" w:tplc="BD420C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2D6D10"/>
    <w:multiLevelType w:val="hybridMultilevel"/>
    <w:tmpl w:val="01AC71FA"/>
    <w:lvl w:ilvl="0" w:tplc="506CC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2545459">
    <w:abstractNumId w:val="11"/>
  </w:num>
  <w:num w:numId="2" w16cid:durableId="1078750771">
    <w:abstractNumId w:val="6"/>
  </w:num>
  <w:num w:numId="3" w16cid:durableId="1464930784">
    <w:abstractNumId w:val="2"/>
  </w:num>
  <w:num w:numId="4" w16cid:durableId="1398014723">
    <w:abstractNumId w:val="17"/>
  </w:num>
  <w:num w:numId="5" w16cid:durableId="783619922">
    <w:abstractNumId w:val="15"/>
  </w:num>
  <w:num w:numId="6" w16cid:durableId="1165363528">
    <w:abstractNumId w:val="4"/>
  </w:num>
  <w:num w:numId="7" w16cid:durableId="535970886">
    <w:abstractNumId w:val="5"/>
  </w:num>
  <w:num w:numId="8" w16cid:durableId="2120442664">
    <w:abstractNumId w:val="3"/>
  </w:num>
  <w:num w:numId="9" w16cid:durableId="1671252523">
    <w:abstractNumId w:val="10"/>
  </w:num>
  <w:num w:numId="10" w16cid:durableId="1550612104">
    <w:abstractNumId w:val="9"/>
  </w:num>
  <w:num w:numId="11" w16cid:durableId="1388988826">
    <w:abstractNumId w:val="13"/>
  </w:num>
  <w:num w:numId="12" w16cid:durableId="957221037">
    <w:abstractNumId w:val="8"/>
  </w:num>
  <w:num w:numId="13" w16cid:durableId="485561167">
    <w:abstractNumId w:val="7"/>
  </w:num>
  <w:num w:numId="14" w16cid:durableId="50886482">
    <w:abstractNumId w:val="0"/>
  </w:num>
  <w:num w:numId="15" w16cid:durableId="576482381">
    <w:abstractNumId w:val="16"/>
  </w:num>
  <w:num w:numId="16" w16cid:durableId="309408250">
    <w:abstractNumId w:val="12"/>
  </w:num>
  <w:num w:numId="17" w16cid:durableId="1297101722">
    <w:abstractNumId w:val="1"/>
  </w:num>
  <w:num w:numId="18" w16cid:durableId="17409008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E1C19"/>
    <w:rsid w:val="001447F3"/>
    <w:rsid w:val="002C6E21"/>
    <w:rsid w:val="003004C5"/>
    <w:rsid w:val="005F410E"/>
    <w:rsid w:val="007F4EF4"/>
    <w:rsid w:val="00A06F4F"/>
    <w:rsid w:val="00AE38D5"/>
    <w:rsid w:val="00B75F94"/>
    <w:rsid w:val="00B87CF4"/>
    <w:rsid w:val="00C16113"/>
    <w:rsid w:val="00CE6045"/>
    <w:rsid w:val="00D34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character" w:customStyle="1" w:styleId="profil-department">
    <w:name w:val="profil-department"/>
    <w:basedOn w:val="Policepardfaut"/>
    <w:rsid w:val="00CE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mailto:ext-europe@centrevalde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1" ma:contentTypeDescription="Crée un document." ma:contentTypeScope="" ma:versionID="80e1fa0a36711d046a75f7be95b9a315">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0c0a25a4c85d5f4bded254b7e0bba312"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D1A43-71D8-405B-A27E-A09304289372}">
  <ds:schemaRefs>
    <ds:schemaRef ds:uri="http://schemas.microsoft.com/sharepoint/v3/contenttype/forms"/>
  </ds:schemaRefs>
</ds:datastoreItem>
</file>

<file path=customXml/itemProps2.xml><?xml version="1.0" encoding="utf-8"?>
<ds:datastoreItem xmlns:ds="http://schemas.openxmlformats.org/officeDocument/2006/customXml" ds:itemID="{A6497096-61DA-4692-BBA4-AD8690668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18383-0925-4810-A633-7236EB31322F}"/>
</file>

<file path=docProps/app.xml><?xml version="1.0" encoding="utf-8"?>
<Properties xmlns="http://schemas.openxmlformats.org/officeDocument/2006/extended-properties" xmlns:vt="http://schemas.openxmlformats.org/officeDocument/2006/docPropsVTypes">
  <Template>Normal</Template>
  <TotalTime>3</TotalTime>
  <Pages>5</Pages>
  <Words>1984</Words>
  <Characters>10912</Characters>
  <Application>Microsoft Office Word</Application>
  <DocSecurity>0</DocSecurity>
  <Lines>90</Lines>
  <Paragraphs>25</Paragraphs>
  <ScaleCrop>false</ScaleCrop>
  <Company>CRCVDL</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6</cp:revision>
  <dcterms:created xsi:type="dcterms:W3CDTF">2022-11-30T10:20:00Z</dcterms:created>
  <dcterms:modified xsi:type="dcterms:W3CDTF">2024-02-15T09:22:00Z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