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425D5B39" w:rsidR="000E1C19" w:rsidRPr="006C22DB" w:rsidRDefault="000E1C19" w:rsidP="000E1C19">
                            <w:pPr>
                              <w:pStyle w:val="Sansinterligne"/>
                              <w:jc w:val="center"/>
                              <w:rPr>
                                <w:b/>
                                <w:bCs/>
                              </w:rPr>
                            </w:pPr>
                            <w:r w:rsidRPr="006C22DB">
                              <w:rPr>
                                <w:b/>
                                <w:bCs/>
                              </w:rPr>
                              <w:t>1.</w:t>
                            </w:r>
                            <w:r w:rsidR="00AE38D5">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425D5B39" w:rsidR="000E1C19" w:rsidRPr="006C22DB" w:rsidRDefault="000E1C19" w:rsidP="000E1C19">
                      <w:pPr>
                        <w:pStyle w:val="Sansinterligne"/>
                        <w:jc w:val="center"/>
                        <w:rPr>
                          <w:b/>
                          <w:bCs/>
                        </w:rPr>
                      </w:pPr>
                      <w:r w:rsidRPr="006C22DB">
                        <w:rPr>
                          <w:b/>
                          <w:bCs/>
                        </w:rPr>
                        <w:t>1.</w:t>
                      </w:r>
                      <w:r w:rsidR="00AE38D5">
                        <w:rPr>
                          <w:b/>
                          <w:bCs/>
                        </w:rPr>
                        <w:t>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41323A54" w:rsidR="000E1C19" w:rsidRDefault="000E1C19" w:rsidP="000E1C19">
      <w:pPr>
        <w:rPr>
          <w:rFonts w:ascii="Calibri" w:hAnsi="Calibri" w:cs="Calibri"/>
        </w:rPr>
      </w:pPr>
    </w:p>
    <w:p w14:paraId="3FE840DA" w14:textId="7C540227" w:rsidR="003004C5" w:rsidRDefault="003004C5" w:rsidP="003004C5">
      <w:pPr>
        <w:rPr>
          <w:rFonts w:ascii="Calibri" w:hAnsi="Calibri" w:cs="Calibri"/>
        </w:rPr>
      </w:pPr>
    </w:p>
    <w:p w14:paraId="1B707B40" w14:textId="77777777" w:rsidR="00144BCF" w:rsidRPr="009325D3" w:rsidRDefault="00144BCF" w:rsidP="00144BCF">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2"/>
        <w:gridCol w:w="2612"/>
        <w:gridCol w:w="2613"/>
        <w:gridCol w:w="2638"/>
      </w:tblGrid>
      <w:tr w:rsidR="00144BCF" w:rsidRPr="009325D3" w14:paraId="147631D2"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45351693" w14:textId="77777777" w:rsidR="00144BCF" w:rsidRPr="009325D3" w:rsidRDefault="00144BCF" w:rsidP="000B288C">
            <w:pPr>
              <w:pStyle w:val="Titre"/>
              <w:outlineLvl w:val="2"/>
              <w:rPr>
                <w:rFonts w:cs="Calibri"/>
              </w:rPr>
            </w:pPr>
            <w:bookmarkStart w:id="0" w:name="_Toc116053853"/>
            <w:r w:rsidRPr="009325D3">
              <w:rPr>
                <w:rFonts w:cs="Calibri"/>
              </w:rPr>
              <w:t>Action n° 7</w:t>
            </w:r>
            <w:bookmarkEnd w:id="0"/>
          </w:p>
          <w:p w14:paraId="20AFD474" w14:textId="77777777" w:rsidR="00144BCF" w:rsidRPr="009325D3" w:rsidRDefault="00144BCF" w:rsidP="000B288C">
            <w:pPr>
              <w:pStyle w:val="Titre"/>
              <w:outlineLvl w:val="2"/>
              <w:rPr>
                <w:rFonts w:cs="Calibri"/>
              </w:rPr>
            </w:pPr>
            <w:bookmarkStart w:id="1" w:name="_Toc116053854"/>
            <w:r w:rsidRPr="009325D3">
              <w:rPr>
                <w:rFonts w:cs="Calibri"/>
              </w:rPr>
              <w:t>Transformation numérique des secteurs de l’économie et des services publics</w:t>
            </w:r>
            <w:bookmarkEnd w:id="1"/>
          </w:p>
        </w:tc>
      </w:tr>
      <w:tr w:rsidR="00144BCF" w:rsidRPr="009325D3" w14:paraId="69EEFEED" w14:textId="77777777" w:rsidTr="000B288C">
        <w:tc>
          <w:tcPr>
            <w:tcW w:w="2612" w:type="dxa"/>
            <w:tcBorders>
              <w:top w:val="single" w:sz="2" w:space="0" w:color="002060"/>
              <w:left w:val="single" w:sz="12" w:space="0" w:color="002060"/>
              <w:bottom w:val="single" w:sz="12" w:space="0" w:color="002060"/>
              <w:right w:val="single" w:sz="2" w:space="0" w:color="002060"/>
            </w:tcBorders>
            <w:vAlign w:val="center"/>
          </w:tcPr>
          <w:p w14:paraId="15620A4D" w14:textId="77777777" w:rsidR="00144BCF" w:rsidRPr="009325D3" w:rsidRDefault="00144BCF"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2" w:type="dxa"/>
            <w:tcBorders>
              <w:top w:val="single" w:sz="12" w:space="0" w:color="002060"/>
              <w:left w:val="single" w:sz="2" w:space="0" w:color="002060"/>
              <w:bottom w:val="single" w:sz="12" w:space="0" w:color="002060"/>
              <w:right w:val="single" w:sz="12" w:space="0" w:color="002060"/>
            </w:tcBorders>
            <w:vAlign w:val="center"/>
          </w:tcPr>
          <w:p w14:paraId="6D31EA9C" w14:textId="7AAE5818" w:rsidR="00144BCF" w:rsidRPr="009325D3" w:rsidRDefault="009537CB" w:rsidP="000B288C">
            <w:pPr>
              <w:pStyle w:val="Sansinterligne"/>
              <w:jc w:val="center"/>
              <w:rPr>
                <w:rFonts w:ascii="Calibri" w:hAnsi="Calibri" w:cs="Calibri"/>
                <w:sz w:val="20"/>
                <w:szCs w:val="20"/>
              </w:rPr>
            </w:pPr>
            <w:r>
              <w:rPr>
                <w:rFonts w:ascii="Calibri" w:hAnsi="Calibri" w:cs="Calibri"/>
                <w:sz w:val="20"/>
                <w:szCs w:val="20"/>
              </w:rPr>
              <w:t>16/05/2024</w:t>
            </w:r>
          </w:p>
        </w:tc>
        <w:tc>
          <w:tcPr>
            <w:tcW w:w="2613" w:type="dxa"/>
            <w:tcBorders>
              <w:top w:val="single" w:sz="12" w:space="0" w:color="002060"/>
              <w:left w:val="single" w:sz="12" w:space="0" w:color="002060"/>
              <w:bottom w:val="single" w:sz="12" w:space="0" w:color="002060"/>
              <w:right w:val="single" w:sz="2" w:space="0" w:color="002060"/>
            </w:tcBorders>
            <w:vAlign w:val="center"/>
          </w:tcPr>
          <w:p w14:paraId="2F025D2E" w14:textId="77777777" w:rsidR="00144BCF" w:rsidRPr="009325D3" w:rsidRDefault="00144BCF"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8" w:type="dxa"/>
            <w:tcBorders>
              <w:top w:val="single" w:sz="12" w:space="0" w:color="002060"/>
              <w:left w:val="single" w:sz="2" w:space="0" w:color="002060"/>
              <w:bottom w:val="single" w:sz="12" w:space="0" w:color="002060"/>
              <w:right w:val="single" w:sz="12" w:space="0" w:color="002060"/>
            </w:tcBorders>
            <w:vAlign w:val="center"/>
          </w:tcPr>
          <w:p w14:paraId="08BD86F4" w14:textId="77777777" w:rsidR="00144BCF" w:rsidRPr="009325D3" w:rsidRDefault="00144BCF" w:rsidP="000B288C">
            <w:pPr>
              <w:pStyle w:val="Sansinterligne"/>
              <w:jc w:val="center"/>
              <w:rPr>
                <w:rFonts w:ascii="Calibri" w:hAnsi="Calibri" w:cs="Calibri"/>
                <w:sz w:val="20"/>
                <w:szCs w:val="20"/>
              </w:rPr>
            </w:pPr>
            <w:r w:rsidRPr="009325D3">
              <w:rPr>
                <w:rFonts w:ascii="Calibri" w:hAnsi="Calibri" w:cs="Calibri"/>
                <w:sz w:val="20"/>
                <w:szCs w:val="20"/>
              </w:rPr>
              <w:t xml:space="preserve">Néant </w:t>
            </w:r>
          </w:p>
        </w:tc>
      </w:tr>
    </w:tbl>
    <w:p w14:paraId="309CA0EE" w14:textId="77777777" w:rsidR="00057E02" w:rsidRDefault="00057E02" w:rsidP="00057E02">
      <w:pPr>
        <w:pStyle w:val="Sansinterligne"/>
        <w:jc w:val="both"/>
        <w:rPr>
          <w:b/>
          <w:bCs/>
          <w:color w:val="FFFFFF" w:themeColor="background1"/>
          <w:sz w:val="28"/>
          <w:szCs w:val="28"/>
          <w:shd w:val="clear" w:color="auto" w:fill="002060"/>
        </w:rPr>
      </w:pPr>
    </w:p>
    <w:p w14:paraId="29471F7D" w14:textId="2DB5C03D" w:rsidR="00057E02" w:rsidRPr="004A7CAA" w:rsidRDefault="00057E02" w:rsidP="00057E02">
      <w:pPr>
        <w:pStyle w:val="Sansinterligne"/>
        <w:shd w:val="clear" w:color="auto" w:fill="DEEAF6" w:themeFill="accent5" w:themeFillTint="33"/>
        <w:jc w:val="both"/>
        <w:rPr>
          <w:b/>
          <w:bCs/>
          <w:color w:val="002060"/>
          <w:sz w:val="28"/>
          <w:szCs w:val="28"/>
        </w:rPr>
      </w:pPr>
      <w:r w:rsidRPr="004A7CAA">
        <w:rPr>
          <w:b/>
          <w:bCs/>
          <w:color w:val="FFFFFF" w:themeColor="background1"/>
          <w:sz w:val="28"/>
          <w:szCs w:val="28"/>
          <w:shd w:val="clear" w:color="auto" w:fill="002060"/>
        </w:rPr>
        <w:t>QUOI ?</w:t>
      </w:r>
      <w:r w:rsidRPr="006E3DEA">
        <w:rPr>
          <w:b/>
          <w:bCs/>
          <w:color w:val="002060"/>
          <w:sz w:val="28"/>
          <w:szCs w:val="28"/>
        </w:rPr>
        <w:t xml:space="preserve">  </w:t>
      </w:r>
      <w:r>
        <w:rPr>
          <w:b/>
          <w:bCs/>
          <w:color w:val="002060"/>
          <w:sz w:val="28"/>
          <w:szCs w:val="28"/>
        </w:rPr>
        <w:t>Contexte et o</w:t>
      </w:r>
      <w:r w:rsidRPr="004A7CAA">
        <w:rPr>
          <w:b/>
          <w:bCs/>
          <w:color w:val="002060"/>
          <w:sz w:val="28"/>
          <w:szCs w:val="28"/>
        </w:rPr>
        <w:t>bjectifs</w:t>
      </w:r>
    </w:p>
    <w:p w14:paraId="288FC6A5" w14:textId="77777777" w:rsidR="00057E02" w:rsidRDefault="00057E02" w:rsidP="00057E02">
      <w:pPr>
        <w:pStyle w:val="Sansinterligne"/>
        <w:jc w:val="both"/>
      </w:pPr>
    </w:p>
    <w:p w14:paraId="2EC45F51" w14:textId="77777777" w:rsidR="00057E02" w:rsidRDefault="00057E02" w:rsidP="00057E02">
      <w:pPr>
        <w:pStyle w:val="Sansinterligne"/>
        <w:jc w:val="both"/>
        <w:rPr>
          <w:color w:val="000000" w:themeColor="text1"/>
        </w:rPr>
      </w:pPr>
      <w:r w:rsidRPr="00950D09">
        <w:rPr>
          <w:color w:val="000000" w:themeColor="text1"/>
        </w:rPr>
        <w:t xml:space="preserve">Le numérique a largement impacté le monde de l’entreprise dans ses différentes fonctions. Qu’il s’agisse des bureaux d’étude, de la production, des fonctions commerciales ou supports le numérique est partout. Il apporte confort et rapidité, sécurité dans les tâches quotidiennes des travailleurs. Le numérique contribue à augmenter la productivité des entreprises, leur visibilité sur les marchés.  </w:t>
      </w:r>
    </w:p>
    <w:p w14:paraId="3E8962D2" w14:textId="77777777" w:rsidR="00057E02" w:rsidRDefault="00057E02" w:rsidP="00057E02">
      <w:pPr>
        <w:pStyle w:val="Sansinterligne"/>
        <w:jc w:val="both"/>
        <w:rPr>
          <w:color w:val="000000" w:themeColor="text1"/>
        </w:rPr>
      </w:pPr>
    </w:p>
    <w:p w14:paraId="37A0D533" w14:textId="77777777" w:rsidR="00057E02" w:rsidRPr="00950D09" w:rsidRDefault="00057E02" w:rsidP="00057E02">
      <w:pPr>
        <w:pStyle w:val="Sansinterligne"/>
        <w:jc w:val="both"/>
        <w:rPr>
          <w:color w:val="000000" w:themeColor="text1"/>
        </w:rPr>
      </w:pPr>
      <w:r w:rsidRPr="00950D09">
        <w:rPr>
          <w:color w:val="000000" w:themeColor="text1"/>
        </w:rPr>
        <w:t xml:space="preserve">L’accompagnement à la transition numérique des acteurs économiques en est devenu un enjeu fondamental et plus particulièrement en Centre-Val de Loire avec son tissu industriel et agricole. Cela passe également par l’émergence de nouveaux services et soutiens afin d’accompagner et de sécuriser cette transition.    </w:t>
      </w:r>
    </w:p>
    <w:p w14:paraId="301FE73C" w14:textId="77777777" w:rsidR="00057E02" w:rsidRDefault="00057E02" w:rsidP="00057E02">
      <w:pPr>
        <w:pStyle w:val="Sansinterligne"/>
        <w:jc w:val="both"/>
        <w:rPr>
          <w:b/>
          <w:bCs/>
          <w:color w:val="002060"/>
        </w:rPr>
      </w:pPr>
    </w:p>
    <w:p w14:paraId="52F6BD3D" w14:textId="77777777" w:rsidR="00057E02" w:rsidRPr="00950D09" w:rsidRDefault="00057E02" w:rsidP="00057E02">
      <w:pPr>
        <w:pStyle w:val="Sansinterligne"/>
        <w:jc w:val="both"/>
        <w:rPr>
          <w:color w:val="000000" w:themeColor="text1"/>
        </w:rPr>
      </w:pPr>
      <w:r w:rsidRPr="00950D09">
        <w:rPr>
          <w:color w:val="000000" w:themeColor="text1"/>
        </w:rPr>
        <w:t xml:space="preserve">Le soutien du FEDER concernera le développement :  </w:t>
      </w:r>
    </w:p>
    <w:p w14:paraId="5EC6C232" w14:textId="77777777" w:rsidR="00057E02" w:rsidRDefault="00057E02" w:rsidP="00057E02">
      <w:pPr>
        <w:pStyle w:val="Sansinterligne"/>
        <w:jc w:val="both"/>
        <w:rPr>
          <w:b/>
          <w:bCs/>
          <w:color w:val="002060"/>
        </w:rPr>
      </w:pPr>
    </w:p>
    <w:p w14:paraId="0A14EDBB" w14:textId="77777777" w:rsidR="00057E02" w:rsidRPr="00173224" w:rsidRDefault="00057E02" w:rsidP="00057E02">
      <w:pPr>
        <w:pStyle w:val="Sansinterligne"/>
        <w:jc w:val="both"/>
      </w:pPr>
      <w:r>
        <w:rPr>
          <w:b/>
          <w:bCs/>
          <w:color w:val="002060"/>
        </w:rPr>
        <w:t xml:space="preserve">De projets de </w:t>
      </w:r>
      <w:r w:rsidRPr="00B70892">
        <w:rPr>
          <w:b/>
          <w:bCs/>
          <w:color w:val="002060"/>
        </w:rPr>
        <w:t>Numérisation au bénéfice des entreprises :</w:t>
      </w:r>
    </w:p>
    <w:p w14:paraId="5FF0D22F" w14:textId="77777777" w:rsidR="00057E02" w:rsidRDefault="00057E02" w:rsidP="00057E02">
      <w:pPr>
        <w:pStyle w:val="Sansinterligne"/>
        <w:jc w:val="both"/>
      </w:pPr>
    </w:p>
    <w:p w14:paraId="34BC3835" w14:textId="77777777" w:rsidR="00057E02" w:rsidRDefault="00057E02" w:rsidP="00057E02">
      <w:pPr>
        <w:pStyle w:val="Sansinterligne"/>
        <w:numPr>
          <w:ilvl w:val="0"/>
          <w:numId w:val="19"/>
        </w:numPr>
        <w:jc w:val="both"/>
      </w:pPr>
      <w:r>
        <w:t>Accroissement des démarches collectives thématiques (intelligence artificielle, cybersécurité, maintenance prédictive, big datas, etc.)</w:t>
      </w:r>
    </w:p>
    <w:p w14:paraId="33C508A5" w14:textId="77777777" w:rsidR="00057E02" w:rsidRDefault="00057E02" w:rsidP="00057E02">
      <w:pPr>
        <w:pStyle w:val="Sansinterligne"/>
        <w:numPr>
          <w:ilvl w:val="0"/>
          <w:numId w:val="19"/>
        </w:numPr>
        <w:jc w:val="both"/>
      </w:pPr>
      <w:r>
        <w:t>Développement du recours à des prestations de conseil spécialisées par les PME régionales pour accélérer leur transformation digitale</w:t>
      </w:r>
    </w:p>
    <w:p w14:paraId="28E96F0B" w14:textId="77777777" w:rsidR="00057E02" w:rsidRDefault="00057E02" w:rsidP="00057E02">
      <w:pPr>
        <w:pStyle w:val="Sansinterligne"/>
        <w:numPr>
          <w:ilvl w:val="0"/>
          <w:numId w:val="19"/>
        </w:numPr>
        <w:jc w:val="both"/>
      </w:pPr>
      <w:r>
        <w:t>Accompagnement et sensibilisation à la cybersécurité des entreprises et associations</w:t>
      </w:r>
    </w:p>
    <w:p w14:paraId="1E55CF51" w14:textId="77777777" w:rsidR="00057E02" w:rsidRDefault="00057E02" w:rsidP="00057E02">
      <w:pPr>
        <w:pStyle w:val="Sansinterligne"/>
        <w:numPr>
          <w:ilvl w:val="0"/>
          <w:numId w:val="19"/>
        </w:numPr>
        <w:jc w:val="both"/>
      </w:pPr>
      <w:r>
        <w:t>Accélération du développement de projets numériques au sein des entreprises</w:t>
      </w:r>
    </w:p>
    <w:p w14:paraId="5CFF137E" w14:textId="77777777" w:rsidR="00057E02" w:rsidRDefault="00057E02" w:rsidP="00057E02">
      <w:pPr>
        <w:pStyle w:val="Sansinterligne"/>
        <w:numPr>
          <w:ilvl w:val="0"/>
          <w:numId w:val="19"/>
        </w:numPr>
        <w:jc w:val="both"/>
      </w:pPr>
      <w:r>
        <w:t>Amélioration du rapprochement entre prestataires de services, offreurs de solutions et les entreprises régionales</w:t>
      </w:r>
    </w:p>
    <w:p w14:paraId="409BA409" w14:textId="77777777" w:rsidR="00057E02" w:rsidRDefault="00057E02" w:rsidP="00057E02">
      <w:pPr>
        <w:pStyle w:val="Sansinterligne"/>
        <w:numPr>
          <w:ilvl w:val="0"/>
          <w:numId w:val="19"/>
        </w:numPr>
        <w:jc w:val="both"/>
      </w:pPr>
      <w:r>
        <w:t>Plus de création de nouvelles activités et de nouveaux usages conçus par les entreprises grâce à des services tels que tester avant d’investir, mise en réseau, formation, détection d’investisseurs</w:t>
      </w:r>
    </w:p>
    <w:p w14:paraId="2DF0D040" w14:textId="77777777" w:rsidR="00057E02" w:rsidRDefault="00057E02" w:rsidP="00057E02">
      <w:pPr>
        <w:pStyle w:val="Sansinterligne"/>
        <w:numPr>
          <w:ilvl w:val="0"/>
          <w:numId w:val="19"/>
        </w:numPr>
        <w:jc w:val="both"/>
      </w:pPr>
      <w:r>
        <w:t>Transformation des modèles et des modes d’organisation des entreprises</w:t>
      </w:r>
    </w:p>
    <w:p w14:paraId="0A71FF12" w14:textId="77777777" w:rsidR="00057E02" w:rsidRDefault="00057E02" w:rsidP="00057E02">
      <w:pPr>
        <w:pStyle w:val="Sansinterligne"/>
        <w:numPr>
          <w:ilvl w:val="0"/>
          <w:numId w:val="19"/>
        </w:numPr>
        <w:jc w:val="both"/>
      </w:pPr>
      <w:r>
        <w:t xml:space="preserve">Valorisation des acteurs régionaux offreurs de services numériques </w:t>
      </w:r>
    </w:p>
    <w:p w14:paraId="52530485" w14:textId="77777777" w:rsidR="00057E02" w:rsidRDefault="00057E02" w:rsidP="00057E02">
      <w:pPr>
        <w:pStyle w:val="Sansinterligne"/>
        <w:numPr>
          <w:ilvl w:val="0"/>
          <w:numId w:val="19"/>
        </w:numPr>
        <w:jc w:val="both"/>
      </w:pPr>
      <w:r>
        <w:t xml:space="preserve">Accompagnement de la transition écologique et énergétique avec des innovations numériques : un numérique </w:t>
      </w:r>
      <w:proofErr w:type="gramStart"/>
      <w:r>
        <w:t>à</w:t>
      </w:r>
      <w:proofErr w:type="gramEnd"/>
      <w:r>
        <w:t xml:space="preserve"> la fois accélérateur de la transition et un numérique plus sobre et responsable</w:t>
      </w:r>
    </w:p>
    <w:p w14:paraId="55E137E2" w14:textId="77777777" w:rsidR="00057E02" w:rsidRDefault="00057E02" w:rsidP="00057E02">
      <w:pPr>
        <w:pStyle w:val="Sansinterligne"/>
        <w:ind w:left="720"/>
        <w:jc w:val="both"/>
      </w:pPr>
    </w:p>
    <w:p w14:paraId="3C29C393" w14:textId="77777777" w:rsidR="00057E02" w:rsidRDefault="00057E02" w:rsidP="00057E02">
      <w:pPr>
        <w:pStyle w:val="Sansinterligne"/>
        <w:jc w:val="both"/>
        <w:rPr>
          <w:b/>
          <w:bCs/>
          <w:color w:val="002060"/>
        </w:rPr>
      </w:pPr>
      <w:r>
        <w:rPr>
          <w:b/>
          <w:bCs/>
          <w:color w:val="002060"/>
        </w:rPr>
        <w:t>De projets de n</w:t>
      </w:r>
      <w:r w:rsidRPr="00877506">
        <w:rPr>
          <w:b/>
          <w:bCs/>
          <w:color w:val="002060"/>
        </w:rPr>
        <w:t>umérisation au profit des pouvoirs publics et des citoyens :</w:t>
      </w:r>
    </w:p>
    <w:p w14:paraId="2940BC84" w14:textId="77777777" w:rsidR="00057E02" w:rsidRDefault="00057E02" w:rsidP="00057E02">
      <w:pPr>
        <w:pStyle w:val="Sansinterligne"/>
        <w:jc w:val="both"/>
        <w:rPr>
          <w:b/>
          <w:bCs/>
          <w:color w:val="002060"/>
        </w:rPr>
      </w:pPr>
    </w:p>
    <w:p w14:paraId="338CCCD3" w14:textId="77777777" w:rsidR="00057E02" w:rsidRDefault="00057E02" w:rsidP="00057E02">
      <w:pPr>
        <w:pStyle w:val="Sansinterligne"/>
        <w:numPr>
          <w:ilvl w:val="0"/>
          <w:numId w:val="14"/>
        </w:numPr>
        <w:jc w:val="both"/>
      </w:pPr>
      <w:r>
        <w:t xml:space="preserve">Accroissement des démarches permettant de mettre en cohérence des systèmes d'information et l'amélioration des services rendus aux habitants : analyse des flux de données, mise en cohérence (reprise des processus de gestion, de transmission et d'archivage des données, …), </w:t>
      </w:r>
    </w:p>
    <w:p w14:paraId="3B9A8F52" w14:textId="77777777" w:rsidR="00057E02" w:rsidRDefault="00057E02" w:rsidP="00057E02">
      <w:pPr>
        <w:pStyle w:val="Sansinterligne"/>
        <w:numPr>
          <w:ilvl w:val="0"/>
          <w:numId w:val="14"/>
        </w:numPr>
        <w:jc w:val="both"/>
      </w:pPr>
      <w:r>
        <w:t xml:space="preserve">Accompagnement et sensibilisation à la cybersécurité des collectivités territoriales, et développement de réponses adaptées  </w:t>
      </w:r>
    </w:p>
    <w:p w14:paraId="3379205F" w14:textId="77777777" w:rsidR="00057E02" w:rsidRDefault="00057E02" w:rsidP="00057E02">
      <w:pPr>
        <w:pStyle w:val="Sansinterligne"/>
        <w:numPr>
          <w:ilvl w:val="0"/>
          <w:numId w:val="14"/>
        </w:numPr>
        <w:jc w:val="both"/>
      </w:pPr>
      <w:r>
        <w:t>Sensibilisation du grand public autour des questions de cybersécurité, ...</w:t>
      </w:r>
    </w:p>
    <w:p w14:paraId="48DB9F59" w14:textId="77777777" w:rsidR="00057E02" w:rsidRDefault="00057E02" w:rsidP="00057E02">
      <w:pPr>
        <w:pStyle w:val="Sansinterligne"/>
        <w:numPr>
          <w:ilvl w:val="0"/>
          <w:numId w:val="14"/>
        </w:numPr>
        <w:jc w:val="both"/>
      </w:pPr>
      <w:r>
        <w:t xml:space="preserve">La mobilité : développement d’un nouveau système de mobilité servicielle </w:t>
      </w:r>
      <w:proofErr w:type="spellStart"/>
      <w:r>
        <w:t>MaaS</w:t>
      </w:r>
      <w:proofErr w:type="spellEnd"/>
      <w:r>
        <w:t xml:space="preserve"> en région proposant des alternatives à la voiture et simplifiant le recours aux mobilités durables par unification de l’interface numérique des réseaux de transport public et intégration de services complémentaires.</w:t>
      </w:r>
    </w:p>
    <w:p w14:paraId="7897ED1B" w14:textId="7B773252" w:rsidR="00057E02" w:rsidRDefault="00057E02" w:rsidP="00057E02">
      <w:pPr>
        <w:pStyle w:val="Sansinterligne"/>
        <w:numPr>
          <w:ilvl w:val="0"/>
          <w:numId w:val="14"/>
        </w:numPr>
        <w:jc w:val="both"/>
      </w:pPr>
      <w:r>
        <w:t>Le tourisme : développer l’innovation avec de nouveaux services et la vente en ligne, fidélisation de la clientèle, mise en réseau des acteurs et optimisation de la gestion des flux de visiteurs, développement des produits, place du marché et Gestion de la Relation Client.</w:t>
      </w:r>
    </w:p>
    <w:p w14:paraId="77701DE4" w14:textId="77777777" w:rsidR="00057E02" w:rsidRDefault="00057E02" w:rsidP="00057E02">
      <w:pPr>
        <w:pStyle w:val="Sansinterligne"/>
        <w:jc w:val="both"/>
      </w:pPr>
    </w:p>
    <w:p w14:paraId="2337A20D" w14:textId="77777777" w:rsidR="00057E02" w:rsidRPr="004A7CAA" w:rsidRDefault="00057E02" w:rsidP="00057E02">
      <w:pPr>
        <w:pStyle w:val="Sansinterligne"/>
        <w:shd w:val="clear" w:color="auto" w:fill="DEEAF6" w:themeFill="accent5" w:themeFillTint="33"/>
        <w:jc w:val="both"/>
        <w:rPr>
          <w:b/>
          <w:bCs/>
          <w:color w:val="002060"/>
          <w:sz w:val="28"/>
          <w:szCs w:val="28"/>
        </w:rPr>
      </w:pPr>
      <w:r w:rsidRPr="004A7CAA">
        <w:rPr>
          <w:b/>
          <w:bCs/>
          <w:color w:val="FFFFFF" w:themeColor="background1"/>
          <w:sz w:val="28"/>
          <w:szCs w:val="28"/>
          <w:shd w:val="clear" w:color="auto" w:fill="002060"/>
        </w:rPr>
        <w:t xml:space="preserve">QUOI ? </w:t>
      </w:r>
      <w:r>
        <w:rPr>
          <w:b/>
          <w:bCs/>
          <w:color w:val="002060"/>
          <w:sz w:val="28"/>
          <w:szCs w:val="28"/>
        </w:rPr>
        <w:t xml:space="preserve"> Description des interventions soutenues dans le Programme </w:t>
      </w:r>
    </w:p>
    <w:p w14:paraId="285087B1" w14:textId="77777777" w:rsidR="00057E02" w:rsidRPr="00FE604E" w:rsidRDefault="00057E02" w:rsidP="00057E02">
      <w:pPr>
        <w:pStyle w:val="Sansinterligne"/>
        <w:jc w:val="both"/>
        <w:rPr>
          <w:color w:val="000000" w:themeColor="text1"/>
        </w:rPr>
      </w:pPr>
    </w:p>
    <w:p w14:paraId="34726945" w14:textId="77777777" w:rsidR="00057E02" w:rsidRDefault="00057E02" w:rsidP="00057E02">
      <w:pPr>
        <w:pStyle w:val="Sansinterligne"/>
        <w:numPr>
          <w:ilvl w:val="0"/>
          <w:numId w:val="26"/>
        </w:numPr>
        <w:jc w:val="both"/>
        <w:rPr>
          <w:b/>
          <w:bCs/>
          <w:color w:val="002060"/>
        </w:rPr>
      </w:pPr>
      <w:r w:rsidRPr="00D135AB">
        <w:rPr>
          <w:b/>
          <w:bCs/>
          <w:color w:val="002060"/>
        </w:rPr>
        <w:t xml:space="preserve"> </w:t>
      </w:r>
      <w:r w:rsidRPr="0026355B">
        <w:rPr>
          <w:b/>
          <w:bCs/>
          <w:color w:val="002060"/>
        </w:rPr>
        <w:t>Accompagner la transition numérique des entreprises et des associations</w:t>
      </w:r>
    </w:p>
    <w:p w14:paraId="243D38FC" w14:textId="77777777" w:rsidR="00057E02" w:rsidRDefault="00057E02" w:rsidP="00057E02">
      <w:pPr>
        <w:pStyle w:val="Sansinterligne"/>
        <w:jc w:val="both"/>
        <w:rPr>
          <w:color w:val="000000" w:themeColor="text1"/>
        </w:rPr>
      </w:pPr>
    </w:p>
    <w:p w14:paraId="5BBFE8DF" w14:textId="77777777" w:rsidR="00057E02" w:rsidRPr="00127B95" w:rsidRDefault="00057E02" w:rsidP="00057E02">
      <w:pPr>
        <w:pStyle w:val="Sansinterligne"/>
        <w:numPr>
          <w:ilvl w:val="0"/>
          <w:numId w:val="21"/>
        </w:numPr>
        <w:jc w:val="both"/>
        <w:rPr>
          <w:color w:val="000000" w:themeColor="text1"/>
        </w:rPr>
      </w:pPr>
      <w:r w:rsidRPr="00127B95">
        <w:rPr>
          <w:color w:val="000000" w:themeColor="text1"/>
        </w:rPr>
        <w:t>Actions transversales d’animation, d’information, de sensibilisation, d’appui et de conseil en vue d’une transformation numérique des secteurs de l’économie</w:t>
      </w:r>
    </w:p>
    <w:p w14:paraId="6C559E3B" w14:textId="77777777" w:rsidR="00057E02" w:rsidRPr="00320A06" w:rsidRDefault="00057E02" w:rsidP="00057E02">
      <w:pPr>
        <w:pStyle w:val="Sansinterligne"/>
        <w:numPr>
          <w:ilvl w:val="0"/>
          <w:numId w:val="21"/>
        </w:numPr>
        <w:jc w:val="both"/>
        <w:rPr>
          <w:color w:val="000000" w:themeColor="text1"/>
        </w:rPr>
      </w:pPr>
      <w:r w:rsidRPr="00320A06">
        <w:rPr>
          <w:color w:val="000000" w:themeColor="text1"/>
        </w:rPr>
        <w:t>Actions apportant les services indispensables à la transformation numérique des PME</w:t>
      </w:r>
    </w:p>
    <w:p w14:paraId="2BA43ADD" w14:textId="77777777" w:rsidR="00057E02" w:rsidRPr="00320A06" w:rsidRDefault="00057E02" w:rsidP="00057E02">
      <w:pPr>
        <w:pStyle w:val="Sansinterligne"/>
        <w:numPr>
          <w:ilvl w:val="0"/>
          <w:numId w:val="21"/>
        </w:numPr>
        <w:jc w:val="both"/>
        <w:rPr>
          <w:color w:val="000000" w:themeColor="text1"/>
        </w:rPr>
      </w:pPr>
      <w:r w:rsidRPr="00320A06">
        <w:rPr>
          <w:color w:val="000000" w:themeColor="text1"/>
        </w:rPr>
        <w:t>Audit et diagnostic des SI</w:t>
      </w:r>
    </w:p>
    <w:p w14:paraId="56730CD2" w14:textId="77777777" w:rsidR="00057E02" w:rsidRPr="00320A06" w:rsidRDefault="00057E02" w:rsidP="00057E02">
      <w:pPr>
        <w:pStyle w:val="Sansinterligne"/>
        <w:numPr>
          <w:ilvl w:val="0"/>
          <w:numId w:val="21"/>
        </w:numPr>
        <w:jc w:val="both"/>
        <w:rPr>
          <w:color w:val="000000" w:themeColor="text1"/>
        </w:rPr>
      </w:pPr>
      <w:r w:rsidRPr="00320A06">
        <w:rPr>
          <w:color w:val="000000" w:themeColor="text1"/>
        </w:rPr>
        <w:t>Développer la cybersécurité des entreprises et des associations</w:t>
      </w:r>
    </w:p>
    <w:p w14:paraId="16BFBAA5" w14:textId="77777777" w:rsidR="00057E02" w:rsidRPr="00FE604E" w:rsidRDefault="00057E02" w:rsidP="00057E02">
      <w:pPr>
        <w:pStyle w:val="Sansinterligne"/>
        <w:jc w:val="both"/>
        <w:rPr>
          <w:color w:val="000000" w:themeColor="text1"/>
        </w:rPr>
      </w:pPr>
    </w:p>
    <w:p w14:paraId="54680410" w14:textId="77777777" w:rsidR="00057E02" w:rsidRDefault="00057E02" w:rsidP="00057E02">
      <w:pPr>
        <w:pStyle w:val="Sansinterligne"/>
        <w:numPr>
          <w:ilvl w:val="0"/>
          <w:numId w:val="26"/>
        </w:numPr>
        <w:jc w:val="both"/>
        <w:rPr>
          <w:b/>
          <w:bCs/>
          <w:color w:val="002060"/>
        </w:rPr>
      </w:pPr>
      <w:r w:rsidRPr="00AE46A7">
        <w:rPr>
          <w:b/>
          <w:bCs/>
          <w:color w:val="002060"/>
        </w:rPr>
        <w:t xml:space="preserve"> Mettre en place un guichet unique pour accompagner la transformation des domaines de spécialisation de la région Centre-Val de Loire (Alimentation/Agriculture, Environnement, Pharmacie, Cosmétique) dédié à la donnée au service du mieux vivre et de la durabilité (Data for </w:t>
      </w:r>
      <w:proofErr w:type="spellStart"/>
      <w:r w:rsidRPr="00AE46A7">
        <w:rPr>
          <w:b/>
          <w:bCs/>
          <w:color w:val="002060"/>
        </w:rPr>
        <w:t>well</w:t>
      </w:r>
      <w:proofErr w:type="spellEnd"/>
      <w:r w:rsidRPr="00AE46A7">
        <w:rPr>
          <w:b/>
          <w:bCs/>
          <w:color w:val="002060"/>
        </w:rPr>
        <w:t xml:space="preserve"> </w:t>
      </w:r>
      <w:proofErr w:type="spellStart"/>
      <w:r w:rsidRPr="00AE46A7">
        <w:rPr>
          <w:b/>
          <w:bCs/>
          <w:color w:val="002060"/>
        </w:rPr>
        <w:t>being</w:t>
      </w:r>
      <w:proofErr w:type="spellEnd"/>
      <w:r w:rsidRPr="00AE46A7">
        <w:rPr>
          <w:b/>
          <w:bCs/>
          <w:color w:val="002060"/>
        </w:rPr>
        <w:t>), notamment accès des entreprises aux compétences clés (IA, cybersécurité, calcul haute perf</w:t>
      </w:r>
      <w:r>
        <w:rPr>
          <w:b/>
          <w:bCs/>
          <w:color w:val="002060"/>
        </w:rPr>
        <w:t>)</w:t>
      </w:r>
    </w:p>
    <w:p w14:paraId="3570B587" w14:textId="77777777" w:rsidR="00057E02" w:rsidRDefault="00057E02" w:rsidP="00057E02">
      <w:pPr>
        <w:pStyle w:val="Sansinterligne"/>
        <w:jc w:val="both"/>
        <w:rPr>
          <w:color w:val="000000" w:themeColor="text1"/>
        </w:rPr>
      </w:pPr>
    </w:p>
    <w:p w14:paraId="3FF0BC1B" w14:textId="77777777" w:rsidR="00057E02" w:rsidRPr="00726CD8" w:rsidRDefault="00057E02" w:rsidP="00057E02">
      <w:pPr>
        <w:pStyle w:val="Sansinterligne"/>
        <w:numPr>
          <w:ilvl w:val="0"/>
          <w:numId w:val="22"/>
        </w:numPr>
        <w:jc w:val="both"/>
        <w:rPr>
          <w:color w:val="000000" w:themeColor="text1"/>
        </w:rPr>
      </w:pPr>
      <w:r w:rsidRPr="00726CD8">
        <w:rPr>
          <w:color w:val="000000" w:themeColor="text1"/>
        </w:rPr>
        <w:t xml:space="preserve">Financement d’actions portée dans le </w:t>
      </w:r>
      <w:proofErr w:type="spellStart"/>
      <w:r w:rsidRPr="00726CD8">
        <w:rPr>
          <w:color w:val="000000" w:themeColor="text1"/>
        </w:rPr>
        <w:t>European</w:t>
      </w:r>
      <w:proofErr w:type="spellEnd"/>
      <w:r w:rsidRPr="00726CD8">
        <w:rPr>
          <w:color w:val="000000" w:themeColor="text1"/>
        </w:rPr>
        <w:t xml:space="preserve"> Digital Innovation Hub (EDIH)</w:t>
      </w:r>
    </w:p>
    <w:p w14:paraId="116D3D44" w14:textId="77777777" w:rsidR="00057E02" w:rsidRDefault="00057E02" w:rsidP="00057E02">
      <w:pPr>
        <w:pStyle w:val="Sansinterligne"/>
        <w:numPr>
          <w:ilvl w:val="0"/>
          <w:numId w:val="22"/>
        </w:numPr>
        <w:jc w:val="both"/>
        <w:rPr>
          <w:color w:val="000000" w:themeColor="text1"/>
        </w:rPr>
      </w:pPr>
      <w:r w:rsidRPr="00726CD8">
        <w:rPr>
          <w:color w:val="000000" w:themeColor="text1"/>
        </w:rPr>
        <w:t>Actions facilitant l’accès des entreprises aux technologies clés comme l’Intelligence Artificielle, le calcul haute performance, la cybersécurité</w:t>
      </w:r>
    </w:p>
    <w:p w14:paraId="26D40AEF" w14:textId="77777777" w:rsidR="00057E02" w:rsidRDefault="00057E02" w:rsidP="00057E02">
      <w:pPr>
        <w:pStyle w:val="Sansinterligne"/>
        <w:ind w:left="720"/>
        <w:jc w:val="both"/>
        <w:rPr>
          <w:color w:val="000000" w:themeColor="text1"/>
        </w:rPr>
      </w:pPr>
    </w:p>
    <w:p w14:paraId="2FB43344" w14:textId="77777777" w:rsidR="00057E02" w:rsidRPr="00857932" w:rsidRDefault="00057E02" w:rsidP="00057E02">
      <w:pPr>
        <w:pStyle w:val="Sansinterligne"/>
        <w:numPr>
          <w:ilvl w:val="0"/>
          <w:numId w:val="26"/>
        </w:numPr>
        <w:jc w:val="both"/>
        <w:rPr>
          <w:b/>
          <w:bCs/>
          <w:color w:val="002060"/>
        </w:rPr>
      </w:pPr>
      <w:r>
        <w:rPr>
          <w:b/>
          <w:bCs/>
          <w:color w:val="002060"/>
        </w:rPr>
        <w:t xml:space="preserve"> </w:t>
      </w:r>
      <w:r w:rsidRPr="00857932">
        <w:rPr>
          <w:b/>
          <w:bCs/>
          <w:color w:val="002060"/>
        </w:rPr>
        <w:t>Accompagner la performance des services publics</w:t>
      </w:r>
    </w:p>
    <w:p w14:paraId="2F1F7346" w14:textId="77777777" w:rsidR="00057E02" w:rsidRDefault="00057E02" w:rsidP="00057E02">
      <w:pPr>
        <w:pStyle w:val="Sansinterligne"/>
        <w:jc w:val="both"/>
        <w:rPr>
          <w:color w:val="000000" w:themeColor="text1"/>
        </w:rPr>
      </w:pPr>
    </w:p>
    <w:p w14:paraId="6496076A" w14:textId="77777777" w:rsidR="00057E02" w:rsidRPr="00857932" w:rsidRDefault="00057E02" w:rsidP="00057E02">
      <w:pPr>
        <w:pStyle w:val="Sansinterligne"/>
        <w:numPr>
          <w:ilvl w:val="0"/>
          <w:numId w:val="23"/>
        </w:numPr>
        <w:ind w:left="709"/>
        <w:jc w:val="both"/>
        <w:rPr>
          <w:color w:val="000000" w:themeColor="text1"/>
        </w:rPr>
      </w:pPr>
      <w:r w:rsidRPr="00857932">
        <w:rPr>
          <w:color w:val="000000" w:themeColor="text1"/>
        </w:rPr>
        <w:t>Expérimentation et déploiement de solutions et offres de services partagés, notamment dans le domaine de la cybersécurité</w:t>
      </w:r>
    </w:p>
    <w:p w14:paraId="6AA7562E" w14:textId="77777777" w:rsidR="00057E02" w:rsidRPr="00857932" w:rsidRDefault="00057E02" w:rsidP="00057E02">
      <w:pPr>
        <w:pStyle w:val="Sansinterligne"/>
        <w:numPr>
          <w:ilvl w:val="0"/>
          <w:numId w:val="23"/>
        </w:numPr>
        <w:ind w:left="709"/>
        <w:jc w:val="both"/>
        <w:rPr>
          <w:color w:val="000000" w:themeColor="text1"/>
        </w:rPr>
      </w:pPr>
      <w:r w:rsidRPr="00857932">
        <w:rPr>
          <w:color w:val="000000" w:themeColor="text1"/>
        </w:rPr>
        <w:t>Mise en cohérence, urbanisation des SI, cybersécurité, mutualisation et synergie entre acteurs publics, promotion des logiciels libres</w:t>
      </w:r>
    </w:p>
    <w:p w14:paraId="30A21966" w14:textId="77777777" w:rsidR="00057E02" w:rsidRPr="00857932" w:rsidRDefault="00057E02" w:rsidP="00057E02">
      <w:pPr>
        <w:pStyle w:val="Sansinterligne"/>
        <w:numPr>
          <w:ilvl w:val="0"/>
          <w:numId w:val="23"/>
        </w:numPr>
        <w:ind w:left="709"/>
        <w:jc w:val="both"/>
        <w:rPr>
          <w:color w:val="000000" w:themeColor="text1"/>
        </w:rPr>
      </w:pPr>
      <w:r w:rsidRPr="00857932">
        <w:rPr>
          <w:color w:val="000000" w:themeColor="text1"/>
        </w:rPr>
        <w:t>Équipements</w:t>
      </w:r>
    </w:p>
    <w:p w14:paraId="55B52D1A" w14:textId="77777777" w:rsidR="00057E02" w:rsidRPr="00B0450C" w:rsidRDefault="00057E02" w:rsidP="00057E02">
      <w:pPr>
        <w:pStyle w:val="Sansinterligne"/>
        <w:numPr>
          <w:ilvl w:val="0"/>
          <w:numId w:val="23"/>
        </w:numPr>
        <w:ind w:left="709"/>
        <w:jc w:val="both"/>
        <w:rPr>
          <w:color w:val="000000" w:themeColor="text1"/>
        </w:rPr>
      </w:pPr>
      <w:r w:rsidRPr="00857932">
        <w:rPr>
          <w:color w:val="000000" w:themeColor="text1"/>
        </w:rPr>
        <w:t xml:space="preserve">Valorisation et dissémination des actions menées </w:t>
      </w:r>
    </w:p>
    <w:p w14:paraId="2290307D" w14:textId="77777777" w:rsidR="00057E02" w:rsidRPr="00662C26" w:rsidRDefault="00057E02" w:rsidP="00057E02">
      <w:pPr>
        <w:pStyle w:val="Sansinterligne"/>
        <w:jc w:val="both"/>
        <w:rPr>
          <w:color w:val="000000" w:themeColor="text1"/>
        </w:rPr>
      </w:pPr>
    </w:p>
    <w:p w14:paraId="10A0F06C" w14:textId="77777777" w:rsidR="00057E02" w:rsidRPr="002C70D5" w:rsidRDefault="00057E02" w:rsidP="00057E02">
      <w:pPr>
        <w:pStyle w:val="Sansinterligne"/>
        <w:shd w:val="clear" w:color="auto" w:fill="B3FFEB"/>
        <w:jc w:val="both"/>
        <w:rPr>
          <w:b/>
          <w:bCs/>
          <w:sz w:val="28"/>
          <w:szCs w:val="28"/>
        </w:rPr>
      </w:pPr>
      <w:r w:rsidRPr="002C70D5">
        <w:rPr>
          <w:b/>
          <w:bCs/>
          <w:color w:val="FFFFFF" w:themeColor="background1"/>
          <w:sz w:val="28"/>
          <w:szCs w:val="28"/>
          <w:shd w:val="clear" w:color="auto" w:fill="00CC99"/>
        </w:rPr>
        <w:t xml:space="preserve">QUI ? </w:t>
      </w:r>
      <w:r w:rsidRPr="002C70D5">
        <w:rPr>
          <w:b/>
          <w:bCs/>
          <w:sz w:val="28"/>
          <w:szCs w:val="28"/>
        </w:rPr>
        <w:t xml:space="preserve"> </w:t>
      </w:r>
      <w:r w:rsidRPr="002C70D5">
        <w:rPr>
          <w:b/>
          <w:bCs/>
          <w:color w:val="002060"/>
          <w:sz w:val="28"/>
          <w:szCs w:val="28"/>
        </w:rPr>
        <w:t>Bénéficiaires potentiels</w:t>
      </w:r>
    </w:p>
    <w:p w14:paraId="09341DE1" w14:textId="77777777" w:rsidR="00057E02" w:rsidRDefault="00057E02" w:rsidP="00057E02">
      <w:pPr>
        <w:pStyle w:val="Sansinterligne"/>
        <w:jc w:val="both"/>
      </w:pPr>
    </w:p>
    <w:p w14:paraId="2F6AEE85" w14:textId="77777777" w:rsidR="00057E02" w:rsidRDefault="00057E02" w:rsidP="00057E02">
      <w:pPr>
        <w:pStyle w:val="Sansinterligne"/>
        <w:numPr>
          <w:ilvl w:val="0"/>
          <w:numId w:val="25"/>
        </w:numPr>
        <w:jc w:val="both"/>
      </w:pPr>
      <w:bookmarkStart w:id="2" w:name="_Hlk115877207"/>
      <w:r>
        <w:t>Collectivités territoriales, leurs groupements et délégataires</w:t>
      </w:r>
    </w:p>
    <w:bookmarkEnd w:id="2"/>
    <w:p w14:paraId="344D3D7B" w14:textId="77777777" w:rsidR="00057E02" w:rsidRDefault="00057E02" w:rsidP="00057E02">
      <w:pPr>
        <w:pStyle w:val="Sansinterligne"/>
        <w:numPr>
          <w:ilvl w:val="0"/>
          <w:numId w:val="25"/>
        </w:numPr>
        <w:jc w:val="both"/>
      </w:pPr>
      <w:r>
        <w:t>Groupements d’Intérêt Public</w:t>
      </w:r>
    </w:p>
    <w:p w14:paraId="123C775F" w14:textId="77777777" w:rsidR="00057E02" w:rsidRDefault="00057E02" w:rsidP="00057E02">
      <w:pPr>
        <w:pStyle w:val="Sansinterligne"/>
        <w:numPr>
          <w:ilvl w:val="0"/>
          <w:numId w:val="25"/>
        </w:numPr>
        <w:jc w:val="both"/>
      </w:pPr>
      <w:r>
        <w:t>Associations</w:t>
      </w:r>
    </w:p>
    <w:p w14:paraId="34BC2944" w14:textId="77777777" w:rsidR="00057E02" w:rsidRDefault="00057E02" w:rsidP="00057E02">
      <w:pPr>
        <w:pStyle w:val="Sansinterligne"/>
        <w:numPr>
          <w:ilvl w:val="0"/>
          <w:numId w:val="25"/>
        </w:numPr>
        <w:jc w:val="both"/>
      </w:pPr>
      <w:r>
        <w:t xml:space="preserve">Universités </w:t>
      </w:r>
    </w:p>
    <w:p w14:paraId="3187E08F" w14:textId="77777777" w:rsidR="00057E02" w:rsidRPr="00127B95" w:rsidRDefault="00057E02" w:rsidP="00057E02">
      <w:pPr>
        <w:pStyle w:val="Sansinterligne"/>
        <w:numPr>
          <w:ilvl w:val="0"/>
          <w:numId w:val="25"/>
        </w:numPr>
        <w:jc w:val="both"/>
      </w:pPr>
      <w:r w:rsidRPr="00127B95">
        <w:t>Entreprises (TPE/PME, ou ETI dans le cadre de projets collaboratifs impliquant des PME)</w:t>
      </w:r>
    </w:p>
    <w:p w14:paraId="44BE9308" w14:textId="77777777" w:rsidR="00057E02" w:rsidRDefault="00057E02" w:rsidP="00057E02">
      <w:pPr>
        <w:pStyle w:val="Sansinterligne"/>
        <w:jc w:val="both"/>
      </w:pPr>
    </w:p>
    <w:p w14:paraId="5E1B85E0" w14:textId="77777777" w:rsidR="00057E02" w:rsidRDefault="00057E02" w:rsidP="00057E02">
      <w:pPr>
        <w:pStyle w:val="Sansinterligne"/>
        <w:shd w:val="clear" w:color="auto" w:fill="C5F0FF"/>
        <w:jc w:val="both"/>
        <w:rPr>
          <w:b/>
          <w:bCs/>
          <w:color w:val="002060"/>
          <w:sz w:val="28"/>
          <w:szCs w:val="28"/>
        </w:rPr>
      </w:pPr>
      <w:r w:rsidRPr="002C70D5">
        <w:rPr>
          <w:b/>
          <w:bCs/>
          <w:color w:val="FFFFFF" w:themeColor="background1"/>
          <w:sz w:val="28"/>
          <w:szCs w:val="28"/>
          <w:shd w:val="clear" w:color="auto" w:fill="0099CC"/>
        </w:rPr>
        <w:t>O</w:t>
      </w:r>
      <w:r w:rsidRPr="002C70D5">
        <w:rPr>
          <w:rFonts w:cstheme="minorHAnsi"/>
          <w:b/>
          <w:bCs/>
          <w:color w:val="FFFFFF" w:themeColor="background1"/>
          <w:sz w:val="28"/>
          <w:szCs w:val="28"/>
          <w:shd w:val="clear" w:color="auto" w:fill="0099CC"/>
        </w:rPr>
        <w:t>Ù</w:t>
      </w:r>
      <w:r w:rsidRPr="002C70D5">
        <w:rPr>
          <w:b/>
          <w:bCs/>
          <w:color w:val="FFFFFF" w:themeColor="background1"/>
          <w:sz w:val="28"/>
          <w:szCs w:val="28"/>
          <w:shd w:val="clear" w:color="auto" w:fill="0099CC"/>
        </w:rPr>
        <w:t> ?</w:t>
      </w:r>
      <w:r w:rsidRPr="002C70D5">
        <w:rPr>
          <w:b/>
          <w:bCs/>
          <w:sz w:val="28"/>
          <w:szCs w:val="28"/>
          <w:shd w:val="clear" w:color="auto" w:fill="0099CC"/>
        </w:rPr>
        <w:t xml:space="preserve"> </w:t>
      </w:r>
      <w:r w:rsidRPr="002C70D5">
        <w:rPr>
          <w:b/>
          <w:bCs/>
          <w:sz w:val="28"/>
          <w:szCs w:val="28"/>
        </w:rPr>
        <w:t xml:space="preserve"> </w:t>
      </w:r>
      <w:r w:rsidRPr="002C70D5">
        <w:rPr>
          <w:b/>
          <w:bCs/>
          <w:color w:val="002060"/>
          <w:sz w:val="28"/>
          <w:szCs w:val="28"/>
        </w:rPr>
        <w:t>Territoires cibles</w:t>
      </w:r>
    </w:p>
    <w:p w14:paraId="60EBD8C3" w14:textId="77777777" w:rsidR="00057E02" w:rsidRDefault="00057E02" w:rsidP="00057E02">
      <w:pPr>
        <w:pStyle w:val="Sansinterligne"/>
        <w:jc w:val="both"/>
      </w:pPr>
    </w:p>
    <w:p w14:paraId="52E78A61" w14:textId="77777777" w:rsidR="00057E02" w:rsidRDefault="00057E02" w:rsidP="00057E02">
      <w:pPr>
        <w:pStyle w:val="Sansinterligne"/>
        <w:jc w:val="both"/>
      </w:pPr>
      <w:r>
        <w:t>Région Centre-Val de Loire</w:t>
      </w:r>
    </w:p>
    <w:p w14:paraId="17B48767" w14:textId="77777777" w:rsidR="00057E02" w:rsidRDefault="00057E02" w:rsidP="00057E02">
      <w:pPr>
        <w:pStyle w:val="Sansinterligne"/>
        <w:jc w:val="both"/>
      </w:pPr>
    </w:p>
    <w:p w14:paraId="03BB3DEF" w14:textId="77777777" w:rsidR="00057E02" w:rsidRPr="002C70D5" w:rsidRDefault="00057E02" w:rsidP="00057E02">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Critères de sélection des projets</w:t>
      </w:r>
    </w:p>
    <w:p w14:paraId="4143A030" w14:textId="77777777" w:rsidR="00057E02" w:rsidRDefault="00057E02" w:rsidP="00057E02">
      <w:pPr>
        <w:pStyle w:val="Sansinterligne"/>
        <w:jc w:val="both"/>
      </w:pPr>
    </w:p>
    <w:p w14:paraId="5A652B46" w14:textId="77777777" w:rsidR="00057E02" w:rsidRDefault="00057E02" w:rsidP="00057E02">
      <w:pPr>
        <w:pStyle w:val="Sansinterligne"/>
      </w:pPr>
      <w:r w:rsidRPr="00FD2F3D">
        <w:t>Le FEDER soutiendra :</w:t>
      </w:r>
    </w:p>
    <w:p w14:paraId="763A1476" w14:textId="77777777" w:rsidR="00057E02" w:rsidRPr="00FD2F3D" w:rsidRDefault="00057E02" w:rsidP="00057E02">
      <w:pPr>
        <w:pStyle w:val="Sansinterligne"/>
        <w:numPr>
          <w:ilvl w:val="0"/>
          <w:numId w:val="11"/>
        </w:numPr>
        <w:jc w:val="both"/>
      </w:pPr>
      <w:r w:rsidRPr="00FD2F3D">
        <w:t>Des projets, de nouveaux outils et des solutions numériques à caractère innovant, permettant de proposer une offre de service considérablement améliorée, à destination des PME, acteurs publics, des associations et acteurs de la recherche et de l’innovation y compris des établissements d’enseignement supérieur,</w:t>
      </w:r>
    </w:p>
    <w:p w14:paraId="2D2FF29F" w14:textId="77777777" w:rsidR="00057E02" w:rsidRPr="00FD2F3D" w:rsidRDefault="00057E02" w:rsidP="00057E02">
      <w:pPr>
        <w:pStyle w:val="Sansinterligne"/>
        <w:numPr>
          <w:ilvl w:val="0"/>
          <w:numId w:val="11"/>
        </w:numPr>
        <w:jc w:val="both"/>
      </w:pPr>
      <w:r w:rsidRPr="00FD2F3D">
        <w:t>Des équipements et infrastructures permettant l’exploitation et la valorisation des données</w:t>
      </w:r>
      <w:r>
        <w:t>,</w:t>
      </w:r>
    </w:p>
    <w:p w14:paraId="237B8C10" w14:textId="77777777" w:rsidR="00057E02" w:rsidRPr="0085522F" w:rsidRDefault="00057E02" w:rsidP="00057E02">
      <w:pPr>
        <w:pStyle w:val="Sansinterligne"/>
        <w:numPr>
          <w:ilvl w:val="0"/>
          <w:numId w:val="11"/>
        </w:numPr>
        <w:jc w:val="both"/>
        <w:rPr>
          <w:color w:val="000000" w:themeColor="text1"/>
        </w:rPr>
      </w:pPr>
      <w:r w:rsidRPr="0085522F">
        <w:rPr>
          <w:color w:val="000000" w:themeColor="text1"/>
        </w:rPr>
        <w:t xml:space="preserve">Les initiatives (tiers lieux, communautés, …) favorisant l’innovation et les projets collaboratifs, </w:t>
      </w:r>
    </w:p>
    <w:p w14:paraId="55B91488" w14:textId="77777777" w:rsidR="00057E02" w:rsidRPr="00FD2F3D" w:rsidRDefault="00057E02" w:rsidP="00057E02">
      <w:pPr>
        <w:pStyle w:val="Sansinterligne"/>
        <w:numPr>
          <w:ilvl w:val="0"/>
          <w:numId w:val="11"/>
        </w:numPr>
      </w:pPr>
      <w:r w:rsidRPr="00FD2F3D">
        <w:t>L’ingénierie logicielle au service des acteurs publics.</w:t>
      </w:r>
    </w:p>
    <w:p w14:paraId="385593A0" w14:textId="77777777" w:rsidR="00057E02" w:rsidRPr="00FD2F3D" w:rsidRDefault="00057E02" w:rsidP="00057E02">
      <w:pPr>
        <w:pStyle w:val="Sansinterligne"/>
        <w:jc w:val="both"/>
      </w:pPr>
    </w:p>
    <w:p w14:paraId="460D4262" w14:textId="77777777" w:rsidR="00057E02" w:rsidRPr="00FD2F3D" w:rsidRDefault="00057E02" w:rsidP="00057E02">
      <w:pPr>
        <w:pStyle w:val="Sansinterligne"/>
        <w:jc w:val="both"/>
      </w:pPr>
      <w:r w:rsidRPr="00FD2F3D">
        <w:t xml:space="preserve">Ne seront pas soutenus : </w:t>
      </w:r>
    </w:p>
    <w:p w14:paraId="05B87A9A" w14:textId="77777777" w:rsidR="00057E02" w:rsidRPr="00FD2F3D" w:rsidRDefault="00057E02" w:rsidP="00057E02">
      <w:pPr>
        <w:pStyle w:val="Sansinterligne"/>
        <w:numPr>
          <w:ilvl w:val="0"/>
          <w:numId w:val="11"/>
        </w:numPr>
        <w:jc w:val="both"/>
      </w:pPr>
      <w:r w:rsidRPr="00FD2F3D">
        <w:t>Les coûts de déploiement des systèmes informatiques, ni des équipements de télétravail,  </w:t>
      </w:r>
    </w:p>
    <w:p w14:paraId="3956CF90" w14:textId="5725642F" w:rsidR="00057E02" w:rsidRDefault="00057E02" w:rsidP="00057E02">
      <w:pPr>
        <w:pStyle w:val="Sansinterligne"/>
        <w:numPr>
          <w:ilvl w:val="0"/>
          <w:numId w:val="11"/>
        </w:numPr>
        <w:jc w:val="both"/>
      </w:pPr>
      <w:r w:rsidRPr="00FD2F3D">
        <w:t>Les actions de formations numériques.</w:t>
      </w:r>
    </w:p>
    <w:p w14:paraId="52658966" w14:textId="77777777" w:rsidR="00057E02" w:rsidRPr="002C70D5" w:rsidRDefault="00057E02" w:rsidP="00057E02">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lastRenderedPageBreak/>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Modalités de dépôt</w:t>
      </w:r>
    </w:p>
    <w:p w14:paraId="1C54EFD7" w14:textId="77777777" w:rsidR="00057E02" w:rsidRDefault="00057E02" w:rsidP="00057E02">
      <w:pPr>
        <w:pStyle w:val="Sansinterligne"/>
        <w:jc w:val="both"/>
      </w:pPr>
    </w:p>
    <w:p w14:paraId="0181C029" w14:textId="77777777" w:rsidR="00057E02" w:rsidRDefault="00057E02" w:rsidP="00057E02">
      <w:pPr>
        <w:pStyle w:val="Sansinterligne"/>
        <w:jc w:val="both"/>
      </w:pPr>
      <w:r>
        <w:t xml:space="preserve">Guichet (au fil de l’eau) </w:t>
      </w:r>
    </w:p>
    <w:p w14:paraId="69B58915" w14:textId="77777777" w:rsidR="00057E02" w:rsidRDefault="00057E02" w:rsidP="00057E02">
      <w:pPr>
        <w:pStyle w:val="Sansinterligne"/>
        <w:jc w:val="both"/>
      </w:pPr>
    </w:p>
    <w:p w14:paraId="7458E090" w14:textId="77777777" w:rsidR="00057E02" w:rsidRPr="002C70D5" w:rsidRDefault="00057E02" w:rsidP="00057E02">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Conditions favorisantes</w:t>
      </w:r>
    </w:p>
    <w:p w14:paraId="10ABFC3C" w14:textId="77777777" w:rsidR="00057E02" w:rsidRDefault="00057E02" w:rsidP="00057E02">
      <w:pPr>
        <w:pStyle w:val="Sansinterligne"/>
        <w:jc w:val="both"/>
      </w:pPr>
    </w:p>
    <w:p w14:paraId="30F85075" w14:textId="77777777" w:rsidR="00057E02" w:rsidRDefault="00057E02" w:rsidP="00057E02">
      <w:pPr>
        <w:pStyle w:val="Sansinterligne"/>
        <w:jc w:val="both"/>
      </w:pPr>
      <w:r>
        <w:t>1.2 Plan national ou régional pour le haut débit</w:t>
      </w:r>
    </w:p>
    <w:p w14:paraId="413356FF" w14:textId="77777777" w:rsidR="00057E02" w:rsidRDefault="00057E02" w:rsidP="00057E02">
      <w:pPr>
        <w:pStyle w:val="Sansinterligne"/>
        <w:jc w:val="both"/>
      </w:pPr>
    </w:p>
    <w:p w14:paraId="699D3AD8" w14:textId="77777777" w:rsidR="00057E02" w:rsidRPr="002C70D5" w:rsidRDefault="00057E02" w:rsidP="00057E02">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Principes horizontaux</w:t>
      </w:r>
    </w:p>
    <w:p w14:paraId="4FE751E0" w14:textId="77777777" w:rsidR="00057E02" w:rsidRDefault="00057E02" w:rsidP="00057E02">
      <w:pPr>
        <w:pStyle w:val="Sansinterligne"/>
        <w:jc w:val="both"/>
      </w:pPr>
    </w:p>
    <w:p w14:paraId="783CDD4E" w14:textId="77777777" w:rsidR="00057E02" w:rsidRPr="009325D3" w:rsidRDefault="00057E02" w:rsidP="00057E02">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5202FEDB" w14:textId="77777777" w:rsidR="00057E02" w:rsidRDefault="00057E02" w:rsidP="00057E02">
      <w:pPr>
        <w:pStyle w:val="Sansinterligne"/>
        <w:jc w:val="both"/>
      </w:pPr>
    </w:p>
    <w:p w14:paraId="57F80BC5" w14:textId="77777777" w:rsidR="00057E02" w:rsidRPr="002C70D5" w:rsidRDefault="00057E02" w:rsidP="00057E02">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Respect des règles européennes</w:t>
      </w:r>
    </w:p>
    <w:p w14:paraId="61E87A34" w14:textId="77777777" w:rsidR="00057E02" w:rsidRDefault="00057E02" w:rsidP="00057E02">
      <w:pPr>
        <w:pStyle w:val="Sansinterligne"/>
        <w:jc w:val="both"/>
      </w:pPr>
    </w:p>
    <w:p w14:paraId="2EA4FD79" w14:textId="77777777" w:rsidR="00057E02" w:rsidRPr="00C57CAD" w:rsidRDefault="00057E02" w:rsidP="00057E02">
      <w:pPr>
        <w:pStyle w:val="Sansinterligne"/>
        <w:jc w:val="both"/>
        <w:rPr>
          <w:b/>
          <w:bCs/>
          <w:color w:val="002060"/>
        </w:rPr>
      </w:pPr>
      <w:r w:rsidRPr="00C57CAD">
        <w:rPr>
          <w:b/>
          <w:bCs/>
          <w:color w:val="002060"/>
        </w:rPr>
        <w:t xml:space="preserve">Régimes d’aides d’état notamment mobilisables :  </w:t>
      </w:r>
    </w:p>
    <w:p w14:paraId="0A9CE9F8" w14:textId="77777777" w:rsidR="00057E02" w:rsidRDefault="00057E02" w:rsidP="00057E02">
      <w:pPr>
        <w:pStyle w:val="Sansinterligne"/>
        <w:numPr>
          <w:ilvl w:val="0"/>
          <w:numId w:val="1"/>
        </w:numPr>
        <w:jc w:val="both"/>
      </w:pPr>
      <w: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40C88EDC" w14:textId="77777777" w:rsidR="00057E02" w:rsidRDefault="00057E02" w:rsidP="00057E02">
      <w:pPr>
        <w:pStyle w:val="Sansinterligne"/>
        <w:numPr>
          <w:ilvl w:val="0"/>
          <w:numId w:val="1"/>
        </w:numPr>
        <w:jc w:val="both"/>
      </w:pPr>
      <w:r>
        <w:t xml:space="preserve">Règlement (UE) n° 1407/2013 de la commission du 18 décembre 2013 relatif à l’application des articles 107 et 108 du traité sur le fonctionnement de l’Union européenne aux aides de minimis ; </w:t>
      </w:r>
    </w:p>
    <w:p w14:paraId="691D5780" w14:textId="77777777" w:rsidR="00057E02" w:rsidRDefault="00057E02" w:rsidP="00057E02">
      <w:pPr>
        <w:pStyle w:val="Sansinterligne"/>
        <w:numPr>
          <w:ilvl w:val="0"/>
          <w:numId w:val="1"/>
        </w:numPr>
        <w:jc w:val="both"/>
      </w:pPr>
      <w: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25B2B194" w14:textId="77777777" w:rsidR="00057E02" w:rsidRDefault="00057E02" w:rsidP="00057E02">
      <w:pPr>
        <w:pStyle w:val="Sansinterligne"/>
        <w:numPr>
          <w:ilvl w:val="0"/>
          <w:numId w:val="1"/>
        </w:numPr>
        <w:jc w:val="both"/>
      </w:pPr>
      <w:r>
        <w:t>Communication de la Commission relative à la notion d</w:t>
      </w:r>
      <w:proofErr w:type="gramStart"/>
      <w:r>
        <w:t>’«</w:t>
      </w:r>
      <w:proofErr w:type="gramEnd"/>
      <w:r>
        <w:t xml:space="preserve"> aide d'État» visée à l'article 107, paragraphe 1, du traité sur le fonctionnement de l'Union européenne, C/2016/2946, OJ C 262, 19.7.2016, p. 1–50 .</w:t>
      </w:r>
    </w:p>
    <w:p w14:paraId="535339B4" w14:textId="77777777" w:rsidR="00057E02" w:rsidRDefault="00057E02" w:rsidP="00057E02">
      <w:pPr>
        <w:pStyle w:val="Sansinterligne"/>
        <w:jc w:val="both"/>
      </w:pPr>
      <w:r>
        <w:t xml:space="preserve">  </w:t>
      </w:r>
    </w:p>
    <w:p w14:paraId="3AD99E69" w14:textId="77777777" w:rsidR="00057E02" w:rsidRPr="00C57CAD" w:rsidRDefault="00057E02" w:rsidP="00057E02">
      <w:pPr>
        <w:pStyle w:val="Sansinterligne"/>
        <w:jc w:val="both"/>
        <w:rPr>
          <w:b/>
          <w:bCs/>
          <w:color w:val="002060"/>
        </w:rPr>
      </w:pPr>
      <w:r w:rsidRPr="00C57CAD">
        <w:rPr>
          <w:b/>
          <w:bCs/>
          <w:color w:val="002060"/>
        </w:rPr>
        <w:t xml:space="preserve">Eligibilité des dépenses : </w:t>
      </w:r>
    </w:p>
    <w:p w14:paraId="499EEAD3" w14:textId="77777777" w:rsidR="00057E02" w:rsidRDefault="00057E02" w:rsidP="00057E02">
      <w:pPr>
        <w:pStyle w:val="Sansinterligne"/>
        <w:numPr>
          <w:ilvl w:val="0"/>
          <w:numId w:val="1"/>
        </w:numPr>
        <w:jc w:val="both"/>
      </w:pPr>
      <w:r>
        <w:t>Règlement (UE, Euratom) n°2018/1046 relatif aux règles financières applicables au budget général de l’Union, dit Omnibus ;</w:t>
      </w:r>
    </w:p>
    <w:p w14:paraId="70A381D5" w14:textId="77777777" w:rsidR="00057E02" w:rsidRPr="00054021" w:rsidRDefault="00057E02" w:rsidP="00057E02">
      <w:pPr>
        <w:pStyle w:val="Sansinterligne"/>
        <w:numPr>
          <w:ilvl w:val="0"/>
          <w:numId w:val="1"/>
        </w:numPr>
        <w:jc w:val="both"/>
        <w:rPr>
          <w:color w:val="000000" w:themeColor="text1"/>
        </w:rPr>
      </w:pPr>
      <w:r>
        <w:t xml:space="preserve">Décret </w:t>
      </w:r>
      <w:r w:rsidRPr="003B42C2">
        <w:t xml:space="preserve">n°2022-608 du 21 avril 2022 </w:t>
      </w:r>
      <w:r w:rsidRPr="00054021">
        <w:rPr>
          <w:color w:val="000000" w:themeColor="text1"/>
        </w:rPr>
        <w:t xml:space="preserve">fixant les règles nationales d’éligibilité des dépenses dans le cadre des programmes cofinancés par les fonds européens structurels et d’investissement (FEDER, FSE +, FEADER, FEAMP) pour la période 2021-2027 ; </w:t>
      </w:r>
    </w:p>
    <w:p w14:paraId="4BB8B8C5" w14:textId="77777777" w:rsidR="00057E02" w:rsidRDefault="00057E02" w:rsidP="00057E02">
      <w:pPr>
        <w:pStyle w:val="Sansinterligne"/>
        <w:jc w:val="both"/>
      </w:pPr>
      <w:r>
        <w:t xml:space="preserve">  </w:t>
      </w:r>
    </w:p>
    <w:p w14:paraId="08954918" w14:textId="77777777" w:rsidR="00057E02" w:rsidRPr="00C57CAD" w:rsidRDefault="00057E02" w:rsidP="00057E02">
      <w:pPr>
        <w:pStyle w:val="Sansinterligne"/>
        <w:jc w:val="both"/>
        <w:rPr>
          <w:b/>
          <w:bCs/>
          <w:color w:val="002060"/>
        </w:rPr>
      </w:pPr>
      <w:r w:rsidRPr="00C57CAD">
        <w:rPr>
          <w:b/>
          <w:bCs/>
          <w:color w:val="002060"/>
        </w:rPr>
        <w:t xml:space="preserve">Commande publique : </w:t>
      </w:r>
    </w:p>
    <w:p w14:paraId="6221C3EE" w14:textId="77777777" w:rsidR="00057E02" w:rsidRDefault="00057E02" w:rsidP="00057E02">
      <w:pPr>
        <w:pStyle w:val="Sansinterligne"/>
        <w:numPr>
          <w:ilvl w:val="0"/>
          <w:numId w:val="1"/>
        </w:numPr>
        <w:jc w:val="both"/>
      </w:pPr>
      <w:r>
        <w:t xml:space="preserve">Code de la Commande Publique ; </w:t>
      </w:r>
    </w:p>
    <w:p w14:paraId="446673BA" w14:textId="77777777" w:rsidR="00057E02" w:rsidRDefault="00057E02" w:rsidP="00057E02">
      <w:pPr>
        <w:pStyle w:val="Sansinterligne"/>
        <w:numPr>
          <w:ilvl w:val="0"/>
          <w:numId w:val="1"/>
        </w:numPr>
        <w:jc w:val="both"/>
      </w:pPr>
      <w:r>
        <w:t xml:space="preserve">Ordonnance n°2018-1074 du 26 novembre 2018 relative aux marchés publics ;  </w:t>
      </w:r>
    </w:p>
    <w:p w14:paraId="2972807C" w14:textId="77777777" w:rsidR="00057E02" w:rsidRDefault="00057E02" w:rsidP="00057E02">
      <w:pPr>
        <w:pStyle w:val="Sansinterligne"/>
        <w:numPr>
          <w:ilvl w:val="0"/>
          <w:numId w:val="1"/>
        </w:numPr>
        <w:jc w:val="both"/>
      </w:pPr>
      <w:r>
        <w:t>Décret n°2018-1075 du 3 décembre 2018 relatif aux marchés publics.</w:t>
      </w:r>
    </w:p>
    <w:p w14:paraId="28B7EDB0" w14:textId="77777777" w:rsidR="00057E02" w:rsidRDefault="00057E02" w:rsidP="00057E02">
      <w:pPr>
        <w:pStyle w:val="Sansinterligne"/>
        <w:jc w:val="both"/>
      </w:pPr>
    </w:p>
    <w:p w14:paraId="33264E35" w14:textId="77777777" w:rsidR="00057E02" w:rsidRPr="002C70D5" w:rsidRDefault="00057E02" w:rsidP="00057E02">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MODALITÉS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sidRPr="002C70D5">
        <w:rPr>
          <w:b/>
          <w:bCs/>
          <w:color w:val="002060"/>
          <w:sz w:val="28"/>
          <w:szCs w:val="28"/>
        </w:rPr>
        <w:t>Dépenses éligibles</w:t>
      </w:r>
    </w:p>
    <w:p w14:paraId="5F9315DA" w14:textId="77777777" w:rsidR="00057E02" w:rsidRDefault="00057E02" w:rsidP="00057E02">
      <w:pPr>
        <w:pStyle w:val="Sansinterligne"/>
        <w:jc w:val="both"/>
      </w:pPr>
    </w:p>
    <w:p w14:paraId="28BA3ACB" w14:textId="77777777" w:rsidR="00057E02" w:rsidRPr="00B0450C" w:rsidRDefault="00057E02" w:rsidP="00057E02">
      <w:pPr>
        <w:pStyle w:val="Sansinterligne"/>
        <w:numPr>
          <w:ilvl w:val="0"/>
          <w:numId w:val="11"/>
        </w:numPr>
        <w:ind w:right="-141"/>
        <w:jc w:val="both"/>
        <w:rPr>
          <w:b/>
          <w:bCs/>
        </w:rPr>
      </w:pPr>
      <w:r>
        <w:t xml:space="preserve">Dépenses d’investissement, d’équipement </w:t>
      </w:r>
      <w:r w:rsidRPr="00B0450C">
        <w:rPr>
          <w:b/>
          <w:bCs/>
        </w:rPr>
        <w:t>(hors petit équipement, renouvellement de matériel informatique),</w:t>
      </w:r>
    </w:p>
    <w:p w14:paraId="0B6E351F" w14:textId="77777777" w:rsidR="00057E02" w:rsidRDefault="00057E02" w:rsidP="00057E02">
      <w:pPr>
        <w:pStyle w:val="Sansinterligne"/>
        <w:numPr>
          <w:ilvl w:val="0"/>
          <w:numId w:val="12"/>
        </w:numPr>
        <w:jc w:val="both"/>
      </w:pPr>
      <w:r>
        <w:t>Dépenses de personnel dédiés à l’opération,</w:t>
      </w:r>
    </w:p>
    <w:p w14:paraId="1DF8A2A8" w14:textId="77777777" w:rsidR="00057E02" w:rsidRDefault="00057E02" w:rsidP="00057E02">
      <w:pPr>
        <w:pStyle w:val="Sansinterligne"/>
        <w:numPr>
          <w:ilvl w:val="0"/>
          <w:numId w:val="12"/>
        </w:numPr>
        <w:jc w:val="both"/>
      </w:pPr>
      <w:r>
        <w:t>Dépenses de prestations externes,</w:t>
      </w:r>
    </w:p>
    <w:p w14:paraId="6684C9F1" w14:textId="77777777" w:rsidR="00057E02" w:rsidRPr="00F000C1" w:rsidRDefault="00057E02" w:rsidP="00057E02">
      <w:pPr>
        <w:pStyle w:val="Paragraphedeliste"/>
        <w:numPr>
          <w:ilvl w:val="0"/>
          <w:numId w:val="12"/>
        </w:numPr>
        <w:spacing w:after="0"/>
        <w:ind w:left="714" w:hanging="357"/>
        <w:rPr>
          <w:rFonts w:asciiTheme="minorHAnsi" w:hAnsiTheme="minorHAnsi"/>
          <w:sz w:val="22"/>
        </w:rPr>
      </w:pPr>
      <w:r w:rsidRPr="00F000C1">
        <w:rPr>
          <w:rFonts w:asciiTheme="minorHAnsi" w:hAnsiTheme="minorHAnsi"/>
          <w:sz w:val="22"/>
        </w:rPr>
        <w:t xml:space="preserve">Coûts indirects (non pris en compte en dépenses directes) mise en œuvre via des options de coûts simplifiés </w:t>
      </w:r>
    </w:p>
    <w:p w14:paraId="0F440443" w14:textId="6F54AA17" w:rsidR="00057E02" w:rsidRDefault="00057E02" w:rsidP="00057E02">
      <w:pPr>
        <w:pStyle w:val="Sansinterligne"/>
        <w:numPr>
          <w:ilvl w:val="0"/>
          <w:numId w:val="12"/>
        </w:numPr>
        <w:jc w:val="both"/>
      </w:pPr>
      <w:r>
        <w:t>Dépenses de communication de l’opération</w:t>
      </w:r>
      <w:r w:rsidR="00A84082">
        <w:t>,</w:t>
      </w:r>
    </w:p>
    <w:p w14:paraId="3F642C6C" w14:textId="5874BA4B" w:rsidR="00057E02" w:rsidRDefault="00057E02" w:rsidP="00057E02">
      <w:pPr>
        <w:pStyle w:val="Sansinterligne"/>
        <w:numPr>
          <w:ilvl w:val="0"/>
          <w:numId w:val="12"/>
        </w:numPr>
        <w:jc w:val="both"/>
      </w:pPr>
      <w:r w:rsidRPr="00B0450C">
        <w:rPr>
          <w:b/>
          <w:bCs/>
        </w:rPr>
        <w:t>Pour les actions d’animation :</w:t>
      </w:r>
      <w:r w:rsidRPr="00B0450C">
        <w:t xml:space="preserve"> dépenses de fonctionnement directes (y compris les dépenses de déplacements, restauration, hébergement) mises en œuvre via des options de coûts simplifiés</w:t>
      </w:r>
      <w:r w:rsidR="00A84082">
        <w:t>,</w:t>
      </w:r>
    </w:p>
    <w:p w14:paraId="1F963FA2" w14:textId="57197BC1" w:rsidR="00A84082" w:rsidRPr="00B0450C" w:rsidRDefault="00A84082" w:rsidP="00057E02">
      <w:pPr>
        <w:pStyle w:val="Sansinterligne"/>
        <w:numPr>
          <w:ilvl w:val="0"/>
          <w:numId w:val="12"/>
        </w:numPr>
        <w:jc w:val="both"/>
      </w:pPr>
      <w:r w:rsidRPr="00A84082">
        <w:t>Dans le cas de la synergie des fonds avec des programmes européens (Digital Europe, Horizon Europe</w:t>
      </w:r>
      <w:proofErr w:type="gramStart"/>
      <w:r w:rsidRPr="00A84082">
        <w:t>):</w:t>
      </w:r>
      <w:proofErr w:type="gramEnd"/>
      <w:r w:rsidRPr="00A84082">
        <w:t xml:space="preserve"> dépenses de fonctionnement et dépenses de déplacement du porteur et des participants</w:t>
      </w:r>
      <w:r>
        <w:t>.</w:t>
      </w:r>
    </w:p>
    <w:p w14:paraId="0108F9EA" w14:textId="77777777" w:rsidR="00057E02" w:rsidRDefault="00057E02" w:rsidP="00057E02">
      <w:pPr>
        <w:spacing w:after="160" w:line="259" w:lineRule="auto"/>
        <w:jc w:val="left"/>
      </w:pPr>
    </w:p>
    <w:p w14:paraId="0E8F8A3A" w14:textId="77777777" w:rsidR="00057E02" w:rsidRDefault="00057E02" w:rsidP="00057E02">
      <w:pPr>
        <w:spacing w:after="160" w:line="259" w:lineRule="auto"/>
        <w:jc w:val="left"/>
      </w:pPr>
    </w:p>
    <w:p w14:paraId="10DD655B" w14:textId="77777777" w:rsidR="00057E02" w:rsidRDefault="00057E02" w:rsidP="00057E02">
      <w:pPr>
        <w:spacing w:after="160" w:line="259" w:lineRule="auto"/>
        <w:jc w:val="left"/>
      </w:pPr>
    </w:p>
    <w:p w14:paraId="33B68A72" w14:textId="77777777" w:rsidR="00057E02" w:rsidRPr="002A32E2" w:rsidRDefault="00057E02" w:rsidP="00057E02">
      <w:pPr>
        <w:shd w:val="clear" w:color="auto" w:fill="E2EFD9" w:themeFill="accent6" w:themeFillTint="33"/>
        <w:spacing w:after="160" w:line="259" w:lineRule="auto"/>
        <w:jc w:val="left"/>
        <w:rPr>
          <w:rFonts w:asciiTheme="minorHAnsi" w:hAnsiTheme="minorHAnsi" w:cstheme="minorHAnsi"/>
          <w:sz w:val="22"/>
        </w:rPr>
      </w:pPr>
      <w:r w:rsidRPr="002A32E2">
        <w:rPr>
          <w:rFonts w:asciiTheme="minorHAnsi" w:hAnsiTheme="minorHAnsi" w:cstheme="minorHAnsi"/>
          <w:b/>
          <w:color w:val="FFFFFF" w:themeColor="background1"/>
          <w:sz w:val="28"/>
          <w:szCs w:val="28"/>
          <w:shd w:val="clear" w:color="auto" w:fill="70AD47" w:themeFill="accent6"/>
        </w:rPr>
        <w:t>MODALITÉS DE FINANCEMENT ?</w:t>
      </w:r>
      <w:r w:rsidRPr="002A32E2">
        <w:rPr>
          <w:rFonts w:asciiTheme="minorHAnsi" w:hAnsiTheme="minorHAnsi" w:cstheme="minorHAnsi"/>
          <w:b/>
          <w:sz w:val="28"/>
          <w:szCs w:val="28"/>
          <w:shd w:val="clear" w:color="auto" w:fill="70AD47" w:themeFill="accent6"/>
        </w:rPr>
        <w:t xml:space="preserve"> </w:t>
      </w:r>
      <w:r w:rsidRPr="002A32E2">
        <w:rPr>
          <w:rFonts w:asciiTheme="minorHAnsi" w:hAnsiTheme="minorHAnsi" w:cstheme="minorHAnsi"/>
          <w:b/>
          <w:sz w:val="28"/>
          <w:szCs w:val="28"/>
        </w:rPr>
        <w:t xml:space="preserve"> </w:t>
      </w:r>
      <w:r w:rsidRPr="006347A3">
        <w:rPr>
          <w:rFonts w:asciiTheme="minorHAnsi" w:hAnsiTheme="minorHAnsi"/>
          <w:b/>
          <w:bCs/>
          <w:color w:val="002060"/>
          <w:sz w:val="28"/>
          <w:szCs w:val="28"/>
        </w:rPr>
        <w:t>Options de coûts simplifiés</w:t>
      </w:r>
    </w:p>
    <w:p w14:paraId="7CE9F3CE" w14:textId="77777777" w:rsidR="00057E02" w:rsidRDefault="00057E02" w:rsidP="00057E02">
      <w:pPr>
        <w:pStyle w:val="Sansinterligne"/>
        <w:jc w:val="both"/>
      </w:pPr>
    </w:p>
    <w:tbl>
      <w:tblPr>
        <w:tblStyle w:val="Grilledutableau"/>
        <w:tblW w:w="10637" w:type="dxa"/>
        <w:tblInd w:w="-5" w:type="dxa"/>
        <w:tblLook w:val="04A0" w:firstRow="1" w:lastRow="0" w:firstColumn="1" w:lastColumn="0" w:noHBand="0" w:noVBand="1"/>
      </w:tblPr>
      <w:tblGrid>
        <w:gridCol w:w="284"/>
        <w:gridCol w:w="501"/>
        <w:gridCol w:w="8287"/>
        <w:gridCol w:w="1565"/>
      </w:tblGrid>
      <w:tr w:rsidR="00057E02" w14:paraId="6A5955A3" w14:textId="77777777" w:rsidTr="00F65C73">
        <w:tc>
          <w:tcPr>
            <w:tcW w:w="785" w:type="dxa"/>
            <w:gridSpan w:val="2"/>
            <w:tcBorders>
              <w:top w:val="nil"/>
              <w:left w:val="nil"/>
              <w:right w:val="nil"/>
            </w:tcBorders>
          </w:tcPr>
          <w:p w14:paraId="363B0F1C" w14:textId="77777777" w:rsidR="00057E02" w:rsidRDefault="00057E02" w:rsidP="00F65C73">
            <w:pPr>
              <w:pStyle w:val="Sansinterligne"/>
              <w:jc w:val="both"/>
            </w:pPr>
          </w:p>
        </w:tc>
        <w:tc>
          <w:tcPr>
            <w:tcW w:w="8287" w:type="dxa"/>
            <w:tcBorders>
              <w:top w:val="nil"/>
              <w:left w:val="nil"/>
            </w:tcBorders>
            <w:vAlign w:val="center"/>
          </w:tcPr>
          <w:p w14:paraId="12BF86F5" w14:textId="77777777" w:rsidR="00057E02" w:rsidRPr="00903E4B" w:rsidRDefault="00057E02" w:rsidP="00F65C73">
            <w:pPr>
              <w:pStyle w:val="Sansinterligne"/>
              <w:rPr>
                <w:b/>
                <w:bCs/>
                <w:color w:val="002060"/>
              </w:rPr>
            </w:pPr>
          </w:p>
        </w:tc>
        <w:tc>
          <w:tcPr>
            <w:tcW w:w="1565" w:type="dxa"/>
            <w:tcBorders>
              <w:left w:val="nil"/>
            </w:tcBorders>
            <w:vAlign w:val="center"/>
          </w:tcPr>
          <w:p w14:paraId="58A91A0D" w14:textId="77777777" w:rsidR="00057E02" w:rsidRPr="00903E4B" w:rsidRDefault="00057E02" w:rsidP="00F65C73">
            <w:pPr>
              <w:pStyle w:val="Sansinterligne"/>
              <w:jc w:val="center"/>
              <w:rPr>
                <w:b/>
                <w:bCs/>
                <w:color w:val="002060"/>
              </w:rPr>
            </w:pPr>
            <w:r>
              <w:rPr>
                <w:b/>
                <w:bCs/>
                <w:color w:val="002060"/>
              </w:rPr>
              <w:t>Mobilisable sur l’action</w:t>
            </w:r>
          </w:p>
        </w:tc>
      </w:tr>
      <w:tr w:rsidR="00057E02" w14:paraId="6B4C72DD" w14:textId="77777777" w:rsidTr="00F65C73">
        <w:tc>
          <w:tcPr>
            <w:tcW w:w="9072" w:type="dxa"/>
            <w:gridSpan w:val="3"/>
            <w:vAlign w:val="center"/>
          </w:tcPr>
          <w:p w14:paraId="00374428" w14:textId="77777777" w:rsidR="00057E02" w:rsidRDefault="00057E02" w:rsidP="00F65C73">
            <w:pPr>
              <w:pStyle w:val="Sansinterligne"/>
            </w:pPr>
            <w:r w:rsidRPr="00903E4B">
              <w:rPr>
                <w:b/>
                <w:bCs/>
                <w:color w:val="002060"/>
              </w:rPr>
              <w:t>Taux forfaitaires :</w:t>
            </w:r>
            <w:r w:rsidRPr="00903E4B">
              <w:rPr>
                <w:color w:val="002060"/>
              </w:rPr>
              <w:t xml:space="preserve"> </w:t>
            </w:r>
            <w:r>
              <w:t>obligatoire lorsque le coût total du projet est inférieur à 200 000 €</w:t>
            </w:r>
          </w:p>
        </w:tc>
        <w:tc>
          <w:tcPr>
            <w:tcW w:w="1565" w:type="dxa"/>
            <w:vAlign w:val="center"/>
          </w:tcPr>
          <w:p w14:paraId="633E6242" w14:textId="77777777" w:rsidR="00057E02" w:rsidRPr="00903E4B" w:rsidRDefault="00057E02" w:rsidP="00F65C73">
            <w:pPr>
              <w:pStyle w:val="Sansinterligne"/>
              <w:jc w:val="center"/>
              <w:rPr>
                <w:b/>
                <w:bCs/>
                <w:color w:val="002060"/>
              </w:rPr>
            </w:pPr>
            <w:r>
              <w:rPr>
                <w:b/>
                <w:bCs/>
                <w:noProof/>
                <w:color w:val="002060"/>
              </w:rPr>
              <w:drawing>
                <wp:inline distT="0" distB="0" distL="0" distR="0" wp14:anchorId="595C7E1D" wp14:editId="4C5F0B41">
                  <wp:extent cx="262393" cy="262393"/>
                  <wp:effectExtent l="0" t="0" r="4445" b="4445"/>
                  <wp:docPr id="784945874" name="Graphique 78494587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057E02" w14:paraId="2BF23C3A" w14:textId="77777777" w:rsidTr="00F65C73">
        <w:tc>
          <w:tcPr>
            <w:tcW w:w="284" w:type="dxa"/>
            <w:tcBorders>
              <w:right w:val="nil"/>
            </w:tcBorders>
          </w:tcPr>
          <w:p w14:paraId="6EDF7E4B" w14:textId="77777777" w:rsidR="00057E02" w:rsidRDefault="00057E02" w:rsidP="00F65C73">
            <w:pPr>
              <w:pStyle w:val="Sansinterligne"/>
              <w:jc w:val="both"/>
            </w:pPr>
          </w:p>
        </w:tc>
        <w:tc>
          <w:tcPr>
            <w:tcW w:w="8788" w:type="dxa"/>
            <w:gridSpan w:val="2"/>
            <w:tcBorders>
              <w:left w:val="nil"/>
            </w:tcBorders>
            <w:vAlign w:val="center"/>
          </w:tcPr>
          <w:p w14:paraId="0EFD06C0" w14:textId="77777777" w:rsidR="00057E02" w:rsidRDefault="00057E02" w:rsidP="00F65C73">
            <w:pPr>
              <w:pStyle w:val="Sansinterligne"/>
            </w:pPr>
            <w:r w:rsidRPr="00C57CAD">
              <w:rPr>
                <w:b/>
                <w:bCs/>
              </w:rPr>
              <w:t>Taux de 40% :</w:t>
            </w:r>
            <w:r>
              <w:t xml:space="preserve"> </w:t>
            </w:r>
            <w:r w:rsidRPr="00903E4B">
              <w:t>forfaitise les coûts hors frais directs de personnel dans la limite de 40% des coûts directs de personnel</w:t>
            </w:r>
          </w:p>
        </w:tc>
        <w:tc>
          <w:tcPr>
            <w:tcW w:w="1565" w:type="dxa"/>
            <w:vAlign w:val="center"/>
          </w:tcPr>
          <w:p w14:paraId="1BF89ED6" w14:textId="77777777" w:rsidR="00057E02" w:rsidRDefault="00057E02" w:rsidP="00F65C73">
            <w:pPr>
              <w:pStyle w:val="Sansinterligne"/>
              <w:jc w:val="center"/>
            </w:pPr>
            <w:r>
              <w:rPr>
                <w:b/>
                <w:bCs/>
                <w:noProof/>
                <w:color w:val="002060"/>
              </w:rPr>
              <w:drawing>
                <wp:inline distT="0" distB="0" distL="0" distR="0" wp14:anchorId="753FABF4" wp14:editId="26B4ACB3">
                  <wp:extent cx="262393" cy="262393"/>
                  <wp:effectExtent l="0" t="0" r="4445" b="4445"/>
                  <wp:docPr id="784945875" name="Graphique 78494587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057E02" w14:paraId="140C182E" w14:textId="77777777" w:rsidTr="00F65C73">
        <w:tc>
          <w:tcPr>
            <w:tcW w:w="284" w:type="dxa"/>
            <w:tcBorders>
              <w:right w:val="nil"/>
            </w:tcBorders>
          </w:tcPr>
          <w:p w14:paraId="06FD57AA" w14:textId="77777777" w:rsidR="00057E02" w:rsidRDefault="00057E02" w:rsidP="00F65C73">
            <w:pPr>
              <w:pStyle w:val="Sansinterligne"/>
              <w:jc w:val="both"/>
            </w:pPr>
          </w:p>
        </w:tc>
        <w:tc>
          <w:tcPr>
            <w:tcW w:w="8788" w:type="dxa"/>
            <w:gridSpan w:val="2"/>
            <w:tcBorders>
              <w:left w:val="nil"/>
            </w:tcBorders>
            <w:vAlign w:val="center"/>
          </w:tcPr>
          <w:p w14:paraId="4018B906" w14:textId="77777777" w:rsidR="00057E02" w:rsidRDefault="00057E02" w:rsidP="00F65C73">
            <w:pPr>
              <w:pStyle w:val="Sansinterligne"/>
            </w:pPr>
            <w:r w:rsidRPr="00C57CAD">
              <w:rPr>
                <w:b/>
                <w:bCs/>
              </w:rPr>
              <w:t>Taux de 15% :</w:t>
            </w:r>
            <w:r>
              <w:t xml:space="preserve"> </w:t>
            </w:r>
            <w:r w:rsidRPr="00903E4B">
              <w:t>forfaitise les coûts indirects dans la limite de 15% des coûts directs de personnel</w:t>
            </w:r>
          </w:p>
        </w:tc>
        <w:tc>
          <w:tcPr>
            <w:tcW w:w="1565" w:type="dxa"/>
            <w:vAlign w:val="center"/>
          </w:tcPr>
          <w:p w14:paraId="0F7EF1BA" w14:textId="77777777" w:rsidR="00057E02" w:rsidRDefault="00057E02" w:rsidP="00F65C73">
            <w:pPr>
              <w:pStyle w:val="Sansinterligne"/>
              <w:jc w:val="center"/>
            </w:pPr>
            <w:r>
              <w:rPr>
                <w:b/>
                <w:bCs/>
                <w:noProof/>
                <w:color w:val="002060"/>
              </w:rPr>
              <w:drawing>
                <wp:inline distT="0" distB="0" distL="0" distR="0" wp14:anchorId="7C5208A5" wp14:editId="722295ED">
                  <wp:extent cx="262393" cy="262393"/>
                  <wp:effectExtent l="0" t="0" r="4445" b="4445"/>
                  <wp:docPr id="784945876" name="Graphique 78494587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057E02" w14:paraId="4EA6F6D3" w14:textId="77777777" w:rsidTr="00F65C73">
        <w:tc>
          <w:tcPr>
            <w:tcW w:w="284" w:type="dxa"/>
            <w:tcBorders>
              <w:right w:val="nil"/>
            </w:tcBorders>
          </w:tcPr>
          <w:p w14:paraId="2F086B9D" w14:textId="77777777" w:rsidR="00057E02" w:rsidRDefault="00057E02" w:rsidP="00F65C73">
            <w:pPr>
              <w:pStyle w:val="Sansinterligne"/>
              <w:jc w:val="both"/>
            </w:pPr>
          </w:p>
        </w:tc>
        <w:tc>
          <w:tcPr>
            <w:tcW w:w="8788" w:type="dxa"/>
            <w:gridSpan w:val="2"/>
            <w:tcBorders>
              <w:left w:val="nil"/>
            </w:tcBorders>
            <w:vAlign w:val="center"/>
          </w:tcPr>
          <w:p w14:paraId="711523C6" w14:textId="77777777" w:rsidR="00057E02" w:rsidRDefault="00057E02" w:rsidP="00F65C73">
            <w:pPr>
              <w:pStyle w:val="Sansinterligne"/>
            </w:pPr>
            <w:r w:rsidRPr="00C57CAD">
              <w:rPr>
                <w:b/>
                <w:bCs/>
              </w:rPr>
              <w:t>Taux de 20% :</w:t>
            </w:r>
            <w:r>
              <w:t xml:space="preserve"> </w:t>
            </w:r>
            <w:r w:rsidRPr="00903E4B">
              <w:t>forfaitise les coûts de personnel directs dans la limite de 20% des coûts directs hors frais de personnel directs</w:t>
            </w:r>
          </w:p>
        </w:tc>
        <w:tc>
          <w:tcPr>
            <w:tcW w:w="1565" w:type="dxa"/>
            <w:vAlign w:val="center"/>
          </w:tcPr>
          <w:p w14:paraId="530A568B" w14:textId="77777777" w:rsidR="00057E02" w:rsidRDefault="00057E02" w:rsidP="00F65C73">
            <w:pPr>
              <w:pStyle w:val="Sansinterligne"/>
              <w:jc w:val="center"/>
            </w:pPr>
            <w:r>
              <w:rPr>
                <w:b/>
                <w:bCs/>
                <w:noProof/>
                <w:color w:val="002060"/>
              </w:rPr>
              <w:drawing>
                <wp:inline distT="0" distB="0" distL="0" distR="0" wp14:anchorId="33DEAC32" wp14:editId="0080C0D3">
                  <wp:extent cx="262393" cy="262393"/>
                  <wp:effectExtent l="0" t="0" r="4445" b="4445"/>
                  <wp:docPr id="784945877" name="Graphique 78494587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057E02" w14:paraId="656A8270" w14:textId="77777777" w:rsidTr="00F65C73">
        <w:tc>
          <w:tcPr>
            <w:tcW w:w="284" w:type="dxa"/>
            <w:tcBorders>
              <w:right w:val="nil"/>
            </w:tcBorders>
          </w:tcPr>
          <w:p w14:paraId="7657DECE" w14:textId="77777777" w:rsidR="00057E02" w:rsidRDefault="00057E02" w:rsidP="00F65C73">
            <w:pPr>
              <w:pStyle w:val="Sansinterligne"/>
              <w:jc w:val="both"/>
            </w:pPr>
          </w:p>
        </w:tc>
        <w:tc>
          <w:tcPr>
            <w:tcW w:w="8788" w:type="dxa"/>
            <w:gridSpan w:val="2"/>
            <w:tcBorders>
              <w:left w:val="nil"/>
            </w:tcBorders>
            <w:vAlign w:val="center"/>
          </w:tcPr>
          <w:p w14:paraId="240B8318" w14:textId="77777777" w:rsidR="00057E02" w:rsidRDefault="00057E02" w:rsidP="00F65C73">
            <w:pPr>
              <w:pStyle w:val="Sansinterligne"/>
            </w:pPr>
            <w:r w:rsidRPr="00C57CAD">
              <w:rPr>
                <w:b/>
                <w:bCs/>
              </w:rPr>
              <w:t>Taux de 7% :</w:t>
            </w:r>
            <w:r>
              <w:t xml:space="preserve"> </w:t>
            </w:r>
            <w:r w:rsidRPr="00903E4B">
              <w:t>forfaitise les coûts indirects dans la limite de 7% des coûts directs</w:t>
            </w:r>
          </w:p>
        </w:tc>
        <w:tc>
          <w:tcPr>
            <w:tcW w:w="1565" w:type="dxa"/>
            <w:vAlign w:val="center"/>
          </w:tcPr>
          <w:p w14:paraId="68B0E5BD" w14:textId="77777777" w:rsidR="00057E02" w:rsidRDefault="00057E02" w:rsidP="00F65C73">
            <w:pPr>
              <w:pStyle w:val="Sansinterligne"/>
              <w:jc w:val="center"/>
            </w:pPr>
            <w:r>
              <w:rPr>
                <w:b/>
                <w:bCs/>
                <w:noProof/>
                <w:color w:val="002060"/>
              </w:rPr>
              <w:drawing>
                <wp:inline distT="0" distB="0" distL="0" distR="0" wp14:anchorId="66721D24" wp14:editId="42D4DAA7">
                  <wp:extent cx="262393" cy="262393"/>
                  <wp:effectExtent l="0" t="0" r="4445" b="4445"/>
                  <wp:docPr id="784945878" name="Graphique 78494587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057E02" w14:paraId="6B87E51C" w14:textId="77777777" w:rsidTr="00F65C73">
        <w:tc>
          <w:tcPr>
            <w:tcW w:w="284" w:type="dxa"/>
            <w:tcBorders>
              <w:right w:val="nil"/>
            </w:tcBorders>
          </w:tcPr>
          <w:p w14:paraId="421AE96A" w14:textId="77777777" w:rsidR="00057E02" w:rsidRDefault="00057E02" w:rsidP="00F65C73">
            <w:pPr>
              <w:pStyle w:val="Sansinterligne"/>
              <w:jc w:val="both"/>
            </w:pPr>
          </w:p>
        </w:tc>
        <w:tc>
          <w:tcPr>
            <w:tcW w:w="8788" w:type="dxa"/>
            <w:gridSpan w:val="2"/>
            <w:tcBorders>
              <w:left w:val="nil"/>
            </w:tcBorders>
            <w:vAlign w:val="center"/>
          </w:tcPr>
          <w:p w14:paraId="1D796279" w14:textId="77777777" w:rsidR="00057E02" w:rsidRPr="00903E4B" w:rsidRDefault="00057E02" w:rsidP="00F65C73">
            <w:pPr>
              <w:pStyle w:val="Sansinterligne"/>
            </w:pPr>
            <w:r>
              <w:t>T</w:t>
            </w:r>
            <w:r w:rsidRPr="00903E4B">
              <w:t>aux forfaitaire(s) applicable(s) dans d’autres politiques de l’UE pour des opérations similaires</w:t>
            </w:r>
          </w:p>
        </w:tc>
        <w:tc>
          <w:tcPr>
            <w:tcW w:w="1565" w:type="dxa"/>
            <w:vAlign w:val="center"/>
          </w:tcPr>
          <w:p w14:paraId="54C38310" w14:textId="77777777" w:rsidR="00057E02" w:rsidRDefault="00057E02" w:rsidP="00F65C73">
            <w:pPr>
              <w:pStyle w:val="Sansinterligne"/>
              <w:jc w:val="center"/>
            </w:pPr>
            <w:r>
              <w:rPr>
                <w:b/>
                <w:bCs/>
                <w:noProof/>
                <w:color w:val="002060"/>
              </w:rPr>
              <w:drawing>
                <wp:inline distT="0" distB="0" distL="0" distR="0" wp14:anchorId="7AD4FF2C" wp14:editId="584E3843">
                  <wp:extent cx="262393" cy="262393"/>
                  <wp:effectExtent l="0" t="0" r="4445" b="4445"/>
                  <wp:docPr id="784945879" name="Graphique 78494587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057E02" w14:paraId="4BB73BDE" w14:textId="77777777" w:rsidTr="00F65C73">
        <w:tc>
          <w:tcPr>
            <w:tcW w:w="9072" w:type="dxa"/>
            <w:gridSpan w:val="3"/>
            <w:vAlign w:val="center"/>
          </w:tcPr>
          <w:p w14:paraId="576D5D61" w14:textId="77777777" w:rsidR="00057E02" w:rsidRPr="00903E4B" w:rsidRDefault="00057E02" w:rsidP="00F65C73">
            <w:pPr>
              <w:pStyle w:val="Sansinterligne"/>
              <w:rPr>
                <w:b/>
                <w:bCs/>
                <w:color w:val="002060"/>
              </w:rPr>
            </w:pPr>
            <w:r w:rsidRPr="00903E4B">
              <w:rPr>
                <w:b/>
                <w:bCs/>
                <w:color w:val="002060"/>
              </w:rPr>
              <w:t>Montants forfaitaires</w:t>
            </w:r>
          </w:p>
        </w:tc>
        <w:tc>
          <w:tcPr>
            <w:tcW w:w="1565" w:type="dxa"/>
            <w:vAlign w:val="center"/>
          </w:tcPr>
          <w:p w14:paraId="19A435F8" w14:textId="77777777" w:rsidR="00057E02" w:rsidRPr="00903E4B" w:rsidRDefault="00057E02" w:rsidP="00F65C73">
            <w:pPr>
              <w:pStyle w:val="Sansinterligne"/>
              <w:jc w:val="center"/>
              <w:rPr>
                <w:b/>
                <w:bCs/>
                <w:color w:val="002060"/>
              </w:rPr>
            </w:pPr>
            <w:r>
              <w:rPr>
                <w:b/>
                <w:bCs/>
                <w:noProof/>
                <w:color w:val="002060"/>
              </w:rPr>
              <w:drawing>
                <wp:inline distT="0" distB="0" distL="0" distR="0" wp14:anchorId="4BD15727" wp14:editId="390953D4">
                  <wp:extent cx="230588" cy="230588"/>
                  <wp:effectExtent l="0" t="0" r="0" b="0"/>
                  <wp:docPr id="784945880" name="Graphique 78494588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057E02" w14:paraId="748763BB" w14:textId="77777777" w:rsidTr="00F65C73">
        <w:tc>
          <w:tcPr>
            <w:tcW w:w="9072" w:type="dxa"/>
            <w:gridSpan w:val="3"/>
            <w:vAlign w:val="center"/>
          </w:tcPr>
          <w:p w14:paraId="4F808625" w14:textId="77777777" w:rsidR="00057E02" w:rsidRPr="00903E4B" w:rsidRDefault="00057E02" w:rsidP="00F65C73">
            <w:pPr>
              <w:pStyle w:val="Sansinterligne"/>
              <w:rPr>
                <w:b/>
                <w:bCs/>
                <w:color w:val="002060"/>
              </w:rPr>
            </w:pPr>
            <w:r w:rsidRPr="00903E4B">
              <w:rPr>
                <w:b/>
                <w:bCs/>
                <w:color w:val="002060"/>
              </w:rPr>
              <w:t>Barème standard de coût unitaire</w:t>
            </w:r>
          </w:p>
        </w:tc>
        <w:tc>
          <w:tcPr>
            <w:tcW w:w="1565" w:type="dxa"/>
            <w:vAlign w:val="center"/>
          </w:tcPr>
          <w:p w14:paraId="10A712C2" w14:textId="77777777" w:rsidR="00057E02" w:rsidRPr="00903E4B" w:rsidRDefault="00057E02" w:rsidP="00F65C73">
            <w:pPr>
              <w:pStyle w:val="Sansinterligne"/>
              <w:jc w:val="center"/>
              <w:rPr>
                <w:b/>
                <w:bCs/>
                <w:color w:val="002060"/>
              </w:rPr>
            </w:pPr>
            <w:r>
              <w:rPr>
                <w:b/>
                <w:bCs/>
                <w:noProof/>
                <w:color w:val="002060"/>
              </w:rPr>
              <w:drawing>
                <wp:inline distT="0" distB="0" distL="0" distR="0" wp14:anchorId="35E1ABA1" wp14:editId="2D82217F">
                  <wp:extent cx="246490" cy="246490"/>
                  <wp:effectExtent l="0" t="0" r="1270" b="1270"/>
                  <wp:docPr id="784945881" name="Graphique 78494588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bl>
    <w:p w14:paraId="0909F32D" w14:textId="77777777" w:rsidR="00057E02" w:rsidRDefault="00057E02" w:rsidP="00057E02">
      <w:pPr>
        <w:pStyle w:val="Sansinterligne"/>
        <w:jc w:val="both"/>
      </w:pPr>
    </w:p>
    <w:p w14:paraId="5DC2AABC" w14:textId="77777777" w:rsidR="00057E02" w:rsidRPr="002C70D5" w:rsidRDefault="00057E02" w:rsidP="00057E02">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MODALITÉS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Taux d’aide applicables et seuils d’intervention FEDER</w:t>
      </w:r>
    </w:p>
    <w:p w14:paraId="101CE0A4" w14:textId="77777777" w:rsidR="00057E02" w:rsidRDefault="00057E02" w:rsidP="00057E02">
      <w:pPr>
        <w:pStyle w:val="Sansinterligne"/>
        <w:jc w:val="both"/>
      </w:pPr>
    </w:p>
    <w:tbl>
      <w:tblPr>
        <w:tblStyle w:val="Grilledutableau"/>
        <w:tblW w:w="10627" w:type="dxa"/>
        <w:tblLook w:val="04A0" w:firstRow="1" w:lastRow="0" w:firstColumn="1" w:lastColumn="0" w:noHBand="0" w:noVBand="1"/>
      </w:tblPr>
      <w:tblGrid>
        <w:gridCol w:w="3697"/>
        <w:gridCol w:w="711"/>
        <w:gridCol w:w="6219"/>
      </w:tblGrid>
      <w:tr w:rsidR="00057E02" w14:paraId="7CC5B3F6" w14:textId="77777777" w:rsidTr="00F65C73">
        <w:trPr>
          <w:trHeight w:val="725"/>
        </w:trPr>
        <w:tc>
          <w:tcPr>
            <w:tcW w:w="3697" w:type="dxa"/>
            <w:vAlign w:val="center"/>
          </w:tcPr>
          <w:p w14:paraId="3EE2AE19" w14:textId="77777777" w:rsidR="00057E02" w:rsidRPr="007C7EF5" w:rsidRDefault="00057E02" w:rsidP="00F65C73">
            <w:pPr>
              <w:pStyle w:val="Sansinterligne"/>
              <w:jc w:val="center"/>
              <w:rPr>
                <w:b/>
                <w:bCs/>
              </w:rPr>
            </w:pPr>
            <w:r w:rsidRPr="007C7EF5">
              <w:rPr>
                <w:b/>
                <w:bCs/>
              </w:rPr>
              <w:t>Taux maximum indicatif FEDER du coût total éligible</w:t>
            </w:r>
          </w:p>
          <w:p w14:paraId="193DC99B" w14:textId="77777777" w:rsidR="00057E02" w:rsidRDefault="00057E02" w:rsidP="00F65C73">
            <w:pPr>
              <w:pStyle w:val="Sansinterligne"/>
              <w:jc w:val="center"/>
            </w:pPr>
            <w:r w:rsidRPr="007C7EF5">
              <w:rPr>
                <w:sz w:val="20"/>
                <w:szCs w:val="20"/>
              </w:rPr>
              <w:t>(</w:t>
            </w:r>
            <w:proofErr w:type="gramStart"/>
            <w:r w:rsidRPr="007C7EF5">
              <w:rPr>
                <w:sz w:val="20"/>
                <w:szCs w:val="20"/>
              </w:rPr>
              <w:t>sous</w:t>
            </w:r>
            <w:proofErr w:type="gramEnd"/>
            <w:r w:rsidRPr="007C7EF5">
              <w:rPr>
                <w:sz w:val="20"/>
                <w:szCs w:val="20"/>
              </w:rPr>
              <w:t xml:space="preserve"> réserve de la règlementation en matière d’aide d’Etat)</w:t>
            </w:r>
          </w:p>
        </w:tc>
        <w:tc>
          <w:tcPr>
            <w:tcW w:w="711" w:type="dxa"/>
            <w:vAlign w:val="center"/>
          </w:tcPr>
          <w:p w14:paraId="726BEE96" w14:textId="77777777" w:rsidR="00057E02" w:rsidRPr="007C7EF5" w:rsidRDefault="00057E02" w:rsidP="00F65C73">
            <w:pPr>
              <w:pStyle w:val="Sansinterligne"/>
              <w:jc w:val="center"/>
              <w:rPr>
                <w:b/>
                <w:bCs/>
              </w:rPr>
            </w:pPr>
            <w:r w:rsidRPr="007C7EF5">
              <w:rPr>
                <w:b/>
                <w:bCs/>
                <w:color w:val="00B050"/>
              </w:rPr>
              <w:t>60%</w:t>
            </w:r>
          </w:p>
        </w:tc>
        <w:tc>
          <w:tcPr>
            <w:tcW w:w="6219" w:type="dxa"/>
            <w:vAlign w:val="center"/>
          </w:tcPr>
          <w:p w14:paraId="31ACE1EF" w14:textId="77777777" w:rsidR="00057E02" w:rsidRPr="007C7EF5" w:rsidRDefault="00057E02" w:rsidP="00F65C73">
            <w:pPr>
              <w:pStyle w:val="Sansinterligne"/>
              <w:rPr>
                <w:b/>
                <w:bCs/>
              </w:rPr>
            </w:pPr>
            <w:r w:rsidRPr="007C7EF5">
              <w:rPr>
                <w:b/>
                <w:bCs/>
              </w:rPr>
              <w:t xml:space="preserve">Régimes d’aides applicables : </w:t>
            </w:r>
          </w:p>
          <w:p w14:paraId="506467F6" w14:textId="77777777" w:rsidR="00057E02" w:rsidRPr="007C7EF5" w:rsidRDefault="00057E02" w:rsidP="00F65C73">
            <w:pPr>
              <w:pStyle w:val="Sansinterligne"/>
              <w:numPr>
                <w:ilvl w:val="0"/>
                <w:numId w:val="1"/>
              </w:numPr>
              <w:rPr>
                <w:sz w:val="20"/>
                <w:szCs w:val="20"/>
              </w:rPr>
            </w:pPr>
            <w:r w:rsidRPr="007C7EF5">
              <w:rPr>
                <w:sz w:val="20"/>
                <w:szCs w:val="20"/>
              </w:rPr>
              <w:t xml:space="preserve">Toute base juridique pertinente, notamment en recherche, développement et innovation (RDI). </w:t>
            </w:r>
          </w:p>
          <w:p w14:paraId="36F535EA" w14:textId="77777777" w:rsidR="00057E02" w:rsidRPr="007C7EF5" w:rsidRDefault="00057E02" w:rsidP="00F65C73">
            <w:pPr>
              <w:pStyle w:val="Sansinterligne"/>
              <w:numPr>
                <w:ilvl w:val="0"/>
                <w:numId w:val="1"/>
              </w:numPr>
              <w:rPr>
                <w:sz w:val="20"/>
                <w:szCs w:val="20"/>
              </w:rPr>
            </w:pPr>
            <w:r w:rsidRPr="007C7EF5">
              <w:rPr>
                <w:sz w:val="20"/>
                <w:szCs w:val="20"/>
              </w:rPr>
              <w:t xml:space="preserve">Régime Général d’Exemption par Catégorie (RGEC) n°651/2014 du 17 juin 2014. </w:t>
            </w:r>
          </w:p>
          <w:p w14:paraId="78221AE9" w14:textId="77777777" w:rsidR="00057E02" w:rsidRPr="007C7EF5" w:rsidRDefault="00057E02" w:rsidP="00F65C73">
            <w:pPr>
              <w:pStyle w:val="Sansinterligne"/>
              <w:numPr>
                <w:ilvl w:val="0"/>
                <w:numId w:val="1"/>
              </w:numPr>
              <w:rPr>
                <w:sz w:val="20"/>
                <w:szCs w:val="20"/>
              </w:rPr>
            </w:pPr>
            <w:r w:rsidRPr="007C7EF5">
              <w:rPr>
                <w:sz w:val="20"/>
                <w:szCs w:val="20"/>
              </w:rPr>
              <w:t xml:space="preserve">Règlement (UE) n° 360/2012 du 25 avril 2012 relatif aux aides de minimis SIEG (Services d’Intérêt Économique Général). </w:t>
            </w:r>
          </w:p>
          <w:p w14:paraId="4F6F52BB" w14:textId="77777777" w:rsidR="00057E02" w:rsidRDefault="00057E02" w:rsidP="00F65C73">
            <w:pPr>
              <w:pStyle w:val="Sansinterligne"/>
              <w:numPr>
                <w:ilvl w:val="0"/>
                <w:numId w:val="1"/>
              </w:numPr>
            </w:pPr>
            <w:r w:rsidRPr="007C7EF5">
              <w:rPr>
                <w:sz w:val="20"/>
                <w:szCs w:val="20"/>
              </w:rPr>
              <w:t xml:space="preserve">Règlement (UE) n°1407/2013 du 18 décembre 2013 relatif aux aides de minimis. </w:t>
            </w:r>
          </w:p>
        </w:tc>
      </w:tr>
      <w:tr w:rsidR="00057E02" w14:paraId="12C1D150" w14:textId="77777777" w:rsidTr="00F65C73">
        <w:trPr>
          <w:trHeight w:val="268"/>
        </w:trPr>
        <w:tc>
          <w:tcPr>
            <w:tcW w:w="4408" w:type="dxa"/>
            <w:gridSpan w:val="2"/>
            <w:vAlign w:val="center"/>
          </w:tcPr>
          <w:p w14:paraId="4795D103" w14:textId="77777777" w:rsidR="00057E02" w:rsidRPr="007C7EF5" w:rsidRDefault="00057E02" w:rsidP="00F65C73">
            <w:pPr>
              <w:pStyle w:val="Sansinterligne"/>
              <w:jc w:val="center"/>
              <w:rPr>
                <w:b/>
                <w:bCs/>
                <w:color w:val="00B050"/>
              </w:rPr>
            </w:pPr>
            <w:r>
              <w:rPr>
                <w:b/>
                <w:bCs/>
              </w:rPr>
              <w:t>Montant de l’aide FEDER (minimum/maximum)</w:t>
            </w:r>
          </w:p>
        </w:tc>
        <w:tc>
          <w:tcPr>
            <w:tcW w:w="6219" w:type="dxa"/>
            <w:vAlign w:val="center"/>
          </w:tcPr>
          <w:p w14:paraId="5980489D" w14:textId="77777777" w:rsidR="00057E02" w:rsidRDefault="00057E02" w:rsidP="00F65C73">
            <w:pPr>
              <w:pStyle w:val="Sansinterligne"/>
              <w:rPr>
                <w:rFonts w:cstheme="minorHAnsi"/>
                <w:b/>
                <w:bCs/>
              </w:rPr>
            </w:pPr>
            <w:r>
              <w:rPr>
                <w:b/>
                <w:bCs/>
              </w:rPr>
              <w:t xml:space="preserve">Minimum : </w:t>
            </w:r>
            <w:r w:rsidRPr="00B0450C">
              <w:rPr>
                <w:b/>
                <w:bCs/>
              </w:rPr>
              <w:t xml:space="preserve">100 000 </w:t>
            </w:r>
            <w:r w:rsidRPr="00C67326">
              <w:rPr>
                <w:rFonts w:cstheme="minorHAnsi"/>
                <w:b/>
                <w:bCs/>
              </w:rPr>
              <w:t xml:space="preserve">€ </w:t>
            </w:r>
            <w:r>
              <w:rPr>
                <w:rFonts w:cstheme="minorHAnsi"/>
                <w:b/>
                <w:bCs/>
              </w:rPr>
              <w:t>par projet</w:t>
            </w:r>
          </w:p>
          <w:p w14:paraId="296E97C9" w14:textId="77777777" w:rsidR="00057E02" w:rsidRPr="007C7EF5" w:rsidRDefault="00057E02" w:rsidP="00F65C73">
            <w:pPr>
              <w:pStyle w:val="Sansinterligne"/>
              <w:rPr>
                <w:b/>
                <w:bCs/>
              </w:rPr>
            </w:pPr>
            <w:r>
              <w:rPr>
                <w:rFonts w:cstheme="minorHAnsi"/>
                <w:b/>
                <w:bCs/>
              </w:rPr>
              <w:t>Maximum : 2 000 000 € par projet</w:t>
            </w:r>
          </w:p>
        </w:tc>
      </w:tr>
    </w:tbl>
    <w:p w14:paraId="3087B4FE" w14:textId="77777777" w:rsidR="00057E02" w:rsidRDefault="00057E02" w:rsidP="00057E02">
      <w:pPr>
        <w:pStyle w:val="Sansinterligne"/>
        <w:jc w:val="both"/>
      </w:pPr>
    </w:p>
    <w:p w14:paraId="61374053" w14:textId="77777777" w:rsidR="00057E02" w:rsidRPr="002C70D5" w:rsidRDefault="00057E02" w:rsidP="00057E02">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MODALITÉS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Autres cofinanceurs mobilisables (liste non exhaustive)</w:t>
      </w:r>
    </w:p>
    <w:p w14:paraId="1FAB9801" w14:textId="77777777" w:rsidR="00057E02" w:rsidRDefault="00057E02" w:rsidP="00057E02">
      <w:pPr>
        <w:pStyle w:val="Sansinterligne"/>
        <w:ind w:left="720"/>
        <w:jc w:val="both"/>
      </w:pPr>
    </w:p>
    <w:p w14:paraId="14F32EC4" w14:textId="77777777" w:rsidR="00057E02" w:rsidRDefault="00057E02" w:rsidP="00057E02">
      <w:pPr>
        <w:pStyle w:val="Sansinterligne"/>
        <w:numPr>
          <w:ilvl w:val="0"/>
          <w:numId w:val="1"/>
        </w:numPr>
        <w:jc w:val="both"/>
      </w:pPr>
      <w:r>
        <w:t>Etat (dont ANR)</w:t>
      </w:r>
    </w:p>
    <w:p w14:paraId="5055C4DB" w14:textId="77777777" w:rsidR="00057E02" w:rsidRDefault="00057E02" w:rsidP="00057E02">
      <w:pPr>
        <w:pStyle w:val="Sansinterligne"/>
        <w:numPr>
          <w:ilvl w:val="0"/>
          <w:numId w:val="1"/>
        </w:numPr>
        <w:jc w:val="both"/>
      </w:pPr>
      <w:r>
        <w:t>Région (</w:t>
      </w:r>
      <w:r w:rsidRPr="005A671D">
        <w:t>dont Dispositif Ambition Recherche 2020, Appels à projets de recherche)</w:t>
      </w:r>
    </w:p>
    <w:p w14:paraId="056DF37B" w14:textId="77777777" w:rsidR="00057E02" w:rsidRDefault="00057E02" w:rsidP="00057E02">
      <w:pPr>
        <w:pStyle w:val="Sansinterligne"/>
        <w:numPr>
          <w:ilvl w:val="0"/>
          <w:numId w:val="1"/>
        </w:numPr>
        <w:jc w:val="both"/>
      </w:pPr>
      <w:r>
        <w:t>Autres collectivités territoriales</w:t>
      </w:r>
    </w:p>
    <w:p w14:paraId="66227B11" w14:textId="77777777" w:rsidR="00057E02" w:rsidRDefault="00057E02" w:rsidP="00057E02">
      <w:pPr>
        <w:pStyle w:val="Sansinterligne"/>
        <w:numPr>
          <w:ilvl w:val="0"/>
          <w:numId w:val="1"/>
        </w:numPr>
        <w:jc w:val="both"/>
      </w:pPr>
      <w:r>
        <w:t>Financements privés</w:t>
      </w:r>
    </w:p>
    <w:p w14:paraId="53D81CA8" w14:textId="77777777" w:rsidR="00057E02" w:rsidRDefault="00057E02" w:rsidP="00057E02">
      <w:pPr>
        <w:pStyle w:val="Sansinterligne"/>
        <w:ind w:left="720"/>
        <w:jc w:val="both"/>
      </w:pPr>
    </w:p>
    <w:p w14:paraId="24D03EF0" w14:textId="77777777" w:rsidR="00057E02" w:rsidRPr="002C70D5" w:rsidRDefault="00057E02" w:rsidP="00057E02">
      <w:pPr>
        <w:pStyle w:val="Sansinterligne"/>
        <w:shd w:val="clear" w:color="auto" w:fill="E2CFF1"/>
        <w:jc w:val="both"/>
        <w:rPr>
          <w:b/>
          <w:bCs/>
          <w:sz w:val="28"/>
          <w:szCs w:val="28"/>
        </w:rPr>
      </w:pPr>
      <w:proofErr w:type="gramStart"/>
      <w:r w:rsidRPr="00DB5B1E">
        <w:rPr>
          <w:b/>
          <w:bCs/>
          <w:color w:val="FFFFFF" w:themeColor="background1"/>
          <w:sz w:val="28"/>
          <w:szCs w:val="28"/>
          <w:shd w:val="clear" w:color="auto" w:fill="7030A0"/>
        </w:rPr>
        <w:t>PERFORMANCE </w:t>
      </w:r>
      <w:r>
        <w:rPr>
          <w:b/>
          <w:bCs/>
          <w:sz w:val="28"/>
          <w:szCs w:val="28"/>
        </w:rPr>
        <w:t xml:space="preserve"> </w:t>
      </w:r>
      <w:r>
        <w:rPr>
          <w:b/>
          <w:bCs/>
          <w:color w:val="002060"/>
          <w:sz w:val="28"/>
          <w:szCs w:val="28"/>
        </w:rPr>
        <w:t>Indicateurs</w:t>
      </w:r>
      <w:proofErr w:type="gramEnd"/>
      <w:r>
        <w:rPr>
          <w:b/>
          <w:bCs/>
          <w:color w:val="002060"/>
          <w:sz w:val="28"/>
          <w:szCs w:val="28"/>
        </w:rPr>
        <w:t xml:space="preserve"> de réalisation et de résultat</w:t>
      </w:r>
    </w:p>
    <w:p w14:paraId="640B31DC" w14:textId="77777777" w:rsidR="00057E02" w:rsidRDefault="00057E02" w:rsidP="00057E02">
      <w:pPr>
        <w:pStyle w:val="Sansinterligne"/>
        <w:jc w:val="both"/>
        <w:rPr>
          <w:b/>
          <w:bCs/>
          <w:color w:val="FFFFFF" w:themeColor="background1"/>
          <w:sz w:val="28"/>
          <w:szCs w:val="28"/>
          <w:shd w:val="clear" w:color="auto" w:fill="7030A0"/>
        </w:rPr>
      </w:pPr>
    </w:p>
    <w:tbl>
      <w:tblPr>
        <w:tblW w:w="10627" w:type="dxa"/>
        <w:tblCellMar>
          <w:left w:w="70" w:type="dxa"/>
          <w:right w:w="70" w:type="dxa"/>
        </w:tblCellMar>
        <w:tblLook w:val="04A0" w:firstRow="1" w:lastRow="0" w:firstColumn="1" w:lastColumn="0" w:noHBand="0" w:noVBand="1"/>
      </w:tblPr>
      <w:tblGrid>
        <w:gridCol w:w="1128"/>
        <w:gridCol w:w="822"/>
        <w:gridCol w:w="4021"/>
        <w:gridCol w:w="1121"/>
        <w:gridCol w:w="1121"/>
        <w:gridCol w:w="2414"/>
      </w:tblGrid>
      <w:tr w:rsidR="00057E02" w:rsidRPr="00712090" w14:paraId="42DA7032" w14:textId="77777777" w:rsidTr="00F65C73">
        <w:trPr>
          <w:trHeight w:val="486"/>
        </w:trPr>
        <w:tc>
          <w:tcPr>
            <w:tcW w:w="112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84B95D" w14:textId="77777777" w:rsidR="00057E02" w:rsidRPr="00712090" w:rsidRDefault="00057E02" w:rsidP="00F65C73">
            <w:pPr>
              <w:spacing w:after="0" w:line="240" w:lineRule="auto"/>
              <w:jc w:val="center"/>
              <w:rPr>
                <w:rFonts w:ascii="Calibri" w:eastAsia="Times New Roman" w:hAnsi="Calibri" w:cs="Calibri"/>
                <w:b/>
                <w:bCs/>
                <w:lang w:eastAsia="fr-FR"/>
              </w:rPr>
            </w:pPr>
            <w:r w:rsidRPr="00712090">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2AC7E29A" w14:textId="77777777" w:rsidR="00057E02" w:rsidRPr="00712090" w:rsidRDefault="00057E02" w:rsidP="00F65C73">
            <w:pPr>
              <w:spacing w:after="0" w:line="240" w:lineRule="auto"/>
              <w:jc w:val="center"/>
              <w:rPr>
                <w:rFonts w:ascii="Calibri" w:eastAsia="Times New Roman" w:hAnsi="Calibri" w:cs="Calibri"/>
                <w:b/>
                <w:bCs/>
                <w:lang w:eastAsia="fr-FR"/>
              </w:rPr>
            </w:pPr>
            <w:r w:rsidRPr="00712090">
              <w:rPr>
                <w:rFonts w:ascii="Calibri" w:eastAsia="Times New Roman" w:hAnsi="Calibri" w:cs="Calibri"/>
                <w:b/>
                <w:bCs/>
                <w:lang w:eastAsia="fr-FR"/>
              </w:rPr>
              <w:t>Numéro</w:t>
            </w:r>
          </w:p>
        </w:tc>
        <w:tc>
          <w:tcPr>
            <w:tcW w:w="4021" w:type="dxa"/>
            <w:tcBorders>
              <w:top w:val="single" w:sz="4" w:space="0" w:color="auto"/>
              <w:left w:val="nil"/>
              <w:bottom w:val="single" w:sz="4" w:space="0" w:color="auto"/>
              <w:right w:val="single" w:sz="4" w:space="0" w:color="auto"/>
            </w:tcBorders>
            <w:shd w:val="clear" w:color="000000" w:fill="D9D9D9"/>
            <w:vAlign w:val="center"/>
            <w:hideMark/>
          </w:tcPr>
          <w:p w14:paraId="514D022A" w14:textId="77777777" w:rsidR="00057E02" w:rsidRPr="00712090" w:rsidRDefault="00057E02" w:rsidP="00F65C73">
            <w:pPr>
              <w:spacing w:after="0" w:line="240" w:lineRule="auto"/>
              <w:jc w:val="center"/>
              <w:rPr>
                <w:rFonts w:ascii="Calibri" w:eastAsia="Times New Roman" w:hAnsi="Calibri" w:cs="Calibri"/>
                <w:b/>
                <w:bCs/>
                <w:lang w:eastAsia="fr-FR"/>
              </w:rPr>
            </w:pPr>
            <w:r w:rsidRPr="00712090">
              <w:rPr>
                <w:rFonts w:ascii="Calibri" w:eastAsia="Times New Roman" w:hAnsi="Calibri" w:cs="Calibri"/>
                <w:b/>
                <w:bCs/>
                <w:lang w:eastAsia="fr-FR"/>
              </w:rPr>
              <w:t>Intitulé</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1258E565" w14:textId="77777777" w:rsidR="00057E02" w:rsidRPr="00712090" w:rsidRDefault="00057E02" w:rsidP="00F65C73">
            <w:pPr>
              <w:spacing w:after="0" w:line="240" w:lineRule="auto"/>
              <w:jc w:val="center"/>
              <w:rPr>
                <w:rFonts w:ascii="Calibri" w:eastAsia="Times New Roman" w:hAnsi="Calibri" w:cs="Calibri"/>
                <w:b/>
                <w:bCs/>
                <w:lang w:eastAsia="fr-FR"/>
              </w:rPr>
            </w:pPr>
            <w:r w:rsidRPr="00712090">
              <w:rPr>
                <w:rFonts w:ascii="Calibri" w:eastAsia="Times New Roman" w:hAnsi="Calibri" w:cs="Calibri"/>
                <w:b/>
                <w:bCs/>
                <w:lang w:eastAsia="fr-FR"/>
              </w:rPr>
              <w:t>Valeur 2024</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776508E3" w14:textId="77777777" w:rsidR="00057E02" w:rsidRPr="00712090" w:rsidRDefault="00057E02" w:rsidP="00F65C73">
            <w:pPr>
              <w:spacing w:after="0" w:line="240" w:lineRule="auto"/>
              <w:jc w:val="center"/>
              <w:rPr>
                <w:rFonts w:ascii="Calibri" w:eastAsia="Times New Roman" w:hAnsi="Calibri" w:cs="Calibri"/>
                <w:b/>
                <w:bCs/>
                <w:lang w:eastAsia="fr-FR"/>
              </w:rPr>
            </w:pPr>
            <w:r w:rsidRPr="00712090">
              <w:rPr>
                <w:rFonts w:ascii="Calibri" w:eastAsia="Times New Roman" w:hAnsi="Calibri" w:cs="Calibri"/>
                <w:b/>
                <w:bCs/>
                <w:lang w:eastAsia="fr-FR"/>
              </w:rPr>
              <w:t>Valeur 2029</w:t>
            </w:r>
          </w:p>
        </w:tc>
        <w:tc>
          <w:tcPr>
            <w:tcW w:w="2414" w:type="dxa"/>
            <w:tcBorders>
              <w:top w:val="single" w:sz="4" w:space="0" w:color="auto"/>
              <w:left w:val="nil"/>
              <w:bottom w:val="single" w:sz="4" w:space="0" w:color="auto"/>
              <w:right w:val="single" w:sz="4" w:space="0" w:color="auto"/>
            </w:tcBorders>
            <w:shd w:val="clear" w:color="000000" w:fill="FFFF00"/>
            <w:vAlign w:val="center"/>
            <w:hideMark/>
          </w:tcPr>
          <w:p w14:paraId="7A12EB51" w14:textId="77777777" w:rsidR="00057E02" w:rsidRPr="00712090" w:rsidRDefault="00057E02" w:rsidP="00F65C73">
            <w:pPr>
              <w:spacing w:after="0" w:line="240" w:lineRule="auto"/>
              <w:jc w:val="center"/>
              <w:rPr>
                <w:rFonts w:ascii="Calibri" w:eastAsia="Times New Roman" w:hAnsi="Calibri" w:cs="Calibri"/>
                <w:b/>
                <w:bCs/>
                <w:lang w:eastAsia="fr-FR"/>
              </w:rPr>
            </w:pPr>
            <w:r w:rsidRPr="00712090">
              <w:rPr>
                <w:rFonts w:ascii="Calibri" w:eastAsia="Times New Roman" w:hAnsi="Calibri" w:cs="Calibri"/>
                <w:b/>
                <w:bCs/>
                <w:lang w:eastAsia="fr-FR"/>
              </w:rPr>
              <w:t>Pièces justificatives</w:t>
            </w:r>
          </w:p>
        </w:tc>
      </w:tr>
      <w:tr w:rsidR="00057E02" w:rsidRPr="00712090" w14:paraId="37B13426" w14:textId="77777777" w:rsidTr="00F65C73">
        <w:trPr>
          <w:trHeight w:val="791"/>
        </w:trPr>
        <w:tc>
          <w:tcPr>
            <w:tcW w:w="1128" w:type="dxa"/>
            <w:tcBorders>
              <w:top w:val="nil"/>
              <w:left w:val="single" w:sz="4" w:space="0" w:color="auto"/>
              <w:bottom w:val="single" w:sz="4" w:space="0" w:color="auto"/>
              <w:right w:val="single" w:sz="4" w:space="0" w:color="auto"/>
            </w:tcBorders>
            <w:shd w:val="clear" w:color="000000" w:fill="FFFFFF"/>
            <w:vAlign w:val="center"/>
            <w:hideMark/>
          </w:tcPr>
          <w:p w14:paraId="510F0C0C" w14:textId="77777777" w:rsidR="00057E02" w:rsidRPr="00712090" w:rsidRDefault="00057E02" w:rsidP="00F65C73">
            <w:pPr>
              <w:spacing w:after="0" w:line="240" w:lineRule="auto"/>
              <w:jc w:val="center"/>
              <w:rPr>
                <w:rFonts w:ascii="Calibri" w:eastAsia="Times New Roman" w:hAnsi="Calibri" w:cs="Calibri"/>
                <w:b/>
                <w:bCs/>
                <w:color w:val="5B9BD5"/>
                <w:lang w:eastAsia="fr-FR"/>
              </w:rPr>
            </w:pPr>
            <w:r w:rsidRPr="00712090">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494E190D" w14:textId="77777777" w:rsidR="00057E02" w:rsidRPr="00712090" w:rsidRDefault="00057E02" w:rsidP="00F65C73">
            <w:pPr>
              <w:spacing w:after="0" w:line="240" w:lineRule="auto"/>
              <w:jc w:val="center"/>
              <w:rPr>
                <w:rFonts w:ascii="Calibri" w:eastAsia="Times New Roman" w:hAnsi="Calibri" w:cs="Calibri"/>
                <w:lang w:eastAsia="fr-FR"/>
              </w:rPr>
            </w:pPr>
            <w:r w:rsidRPr="00712090">
              <w:rPr>
                <w:rFonts w:ascii="Calibri" w:eastAsia="Times New Roman" w:hAnsi="Calibri" w:cs="Calibri"/>
                <w:lang w:eastAsia="fr-FR"/>
              </w:rPr>
              <w:t>RCO14</w:t>
            </w:r>
          </w:p>
        </w:tc>
        <w:tc>
          <w:tcPr>
            <w:tcW w:w="4021" w:type="dxa"/>
            <w:tcBorders>
              <w:top w:val="nil"/>
              <w:left w:val="nil"/>
              <w:bottom w:val="single" w:sz="4" w:space="0" w:color="auto"/>
              <w:right w:val="single" w:sz="4" w:space="0" w:color="auto"/>
            </w:tcBorders>
            <w:shd w:val="clear" w:color="000000" w:fill="FFFFFF"/>
            <w:vAlign w:val="center"/>
            <w:hideMark/>
          </w:tcPr>
          <w:p w14:paraId="5423E8C1" w14:textId="77777777" w:rsidR="00057E02" w:rsidRPr="00712090" w:rsidRDefault="00057E02" w:rsidP="00F65C73">
            <w:pPr>
              <w:spacing w:after="0" w:line="240" w:lineRule="auto"/>
              <w:rPr>
                <w:rFonts w:ascii="Calibri" w:eastAsia="Times New Roman" w:hAnsi="Calibri" w:cs="Calibri"/>
                <w:lang w:eastAsia="fr-FR"/>
              </w:rPr>
            </w:pPr>
            <w:r w:rsidRPr="00712090">
              <w:rPr>
                <w:rFonts w:ascii="Calibri" w:eastAsia="Times New Roman" w:hAnsi="Calibri" w:cs="Calibri"/>
                <w:lang w:eastAsia="fr-FR"/>
              </w:rPr>
              <w:t>Instituts publics bénéficiant d’un soutien pour l’élaboration de services, produits et processus numériques</w:t>
            </w:r>
          </w:p>
        </w:tc>
        <w:tc>
          <w:tcPr>
            <w:tcW w:w="1121" w:type="dxa"/>
            <w:tcBorders>
              <w:top w:val="nil"/>
              <w:left w:val="nil"/>
              <w:bottom w:val="single" w:sz="4" w:space="0" w:color="auto"/>
              <w:right w:val="single" w:sz="4" w:space="0" w:color="auto"/>
            </w:tcBorders>
            <w:shd w:val="clear" w:color="000000" w:fill="FFFFFF"/>
            <w:vAlign w:val="center"/>
            <w:hideMark/>
          </w:tcPr>
          <w:p w14:paraId="00A51693" w14:textId="77777777" w:rsidR="00057E02" w:rsidRPr="00712090" w:rsidRDefault="00057E02" w:rsidP="00F65C73">
            <w:pPr>
              <w:spacing w:after="0" w:line="240" w:lineRule="auto"/>
              <w:jc w:val="center"/>
              <w:rPr>
                <w:rFonts w:ascii="Calibri" w:eastAsia="Times New Roman" w:hAnsi="Calibri" w:cs="Calibri"/>
                <w:lang w:eastAsia="fr-FR"/>
              </w:rPr>
            </w:pPr>
            <w:r w:rsidRPr="00712090">
              <w:rPr>
                <w:rFonts w:ascii="Calibri" w:eastAsia="Times New Roman" w:hAnsi="Calibri" w:cs="Calibri"/>
                <w:lang w:eastAsia="fr-FR"/>
              </w:rPr>
              <w:t>6</w:t>
            </w:r>
          </w:p>
        </w:tc>
        <w:tc>
          <w:tcPr>
            <w:tcW w:w="1121" w:type="dxa"/>
            <w:tcBorders>
              <w:top w:val="nil"/>
              <w:left w:val="nil"/>
              <w:bottom w:val="single" w:sz="4" w:space="0" w:color="auto"/>
              <w:right w:val="single" w:sz="4" w:space="0" w:color="auto"/>
            </w:tcBorders>
            <w:shd w:val="clear" w:color="000000" w:fill="FFFFFF"/>
            <w:vAlign w:val="center"/>
            <w:hideMark/>
          </w:tcPr>
          <w:p w14:paraId="585FAC70" w14:textId="77777777" w:rsidR="00057E02" w:rsidRPr="00712090" w:rsidRDefault="00057E02" w:rsidP="00F65C73">
            <w:pPr>
              <w:spacing w:after="0" w:line="240" w:lineRule="auto"/>
              <w:jc w:val="center"/>
              <w:rPr>
                <w:rFonts w:ascii="Calibri" w:eastAsia="Times New Roman" w:hAnsi="Calibri" w:cs="Calibri"/>
                <w:lang w:eastAsia="fr-FR"/>
              </w:rPr>
            </w:pPr>
            <w:r w:rsidRPr="00712090">
              <w:rPr>
                <w:rFonts w:ascii="Calibri" w:eastAsia="Times New Roman" w:hAnsi="Calibri" w:cs="Calibri"/>
                <w:lang w:eastAsia="fr-FR"/>
              </w:rPr>
              <w:t>12</w:t>
            </w:r>
          </w:p>
        </w:tc>
        <w:tc>
          <w:tcPr>
            <w:tcW w:w="2414" w:type="dxa"/>
            <w:tcBorders>
              <w:top w:val="nil"/>
              <w:left w:val="nil"/>
              <w:bottom w:val="single" w:sz="4" w:space="0" w:color="auto"/>
              <w:right w:val="single" w:sz="4" w:space="0" w:color="auto"/>
            </w:tcBorders>
            <w:shd w:val="clear" w:color="000000" w:fill="FFFFFF"/>
            <w:vAlign w:val="center"/>
            <w:hideMark/>
          </w:tcPr>
          <w:p w14:paraId="696736E1" w14:textId="77777777" w:rsidR="00057E02" w:rsidRPr="00712090" w:rsidRDefault="00057E02" w:rsidP="00F65C73">
            <w:pPr>
              <w:spacing w:after="0" w:line="240" w:lineRule="auto"/>
              <w:jc w:val="center"/>
              <w:rPr>
                <w:rFonts w:ascii="Calibri" w:eastAsia="Times New Roman" w:hAnsi="Calibri" w:cs="Calibri"/>
                <w:lang w:eastAsia="fr-FR"/>
              </w:rPr>
            </w:pPr>
            <w:r w:rsidRPr="00712090">
              <w:rPr>
                <w:rFonts w:ascii="Calibri" w:eastAsia="Times New Roman" w:hAnsi="Calibri" w:cs="Calibri"/>
                <w:lang w:eastAsia="fr-FR"/>
              </w:rPr>
              <w:t>Liste n° SIRET</w:t>
            </w:r>
          </w:p>
        </w:tc>
      </w:tr>
      <w:tr w:rsidR="00057E02" w:rsidRPr="00712090" w14:paraId="79E3F4DA" w14:textId="77777777" w:rsidTr="00F65C73">
        <w:trPr>
          <w:trHeight w:val="397"/>
        </w:trPr>
        <w:tc>
          <w:tcPr>
            <w:tcW w:w="1128" w:type="dxa"/>
            <w:tcBorders>
              <w:top w:val="nil"/>
              <w:left w:val="single" w:sz="4" w:space="0" w:color="auto"/>
              <w:bottom w:val="single" w:sz="4" w:space="0" w:color="auto"/>
              <w:right w:val="single" w:sz="4" w:space="0" w:color="auto"/>
            </w:tcBorders>
            <w:shd w:val="clear" w:color="000000" w:fill="FFFFFF"/>
            <w:vAlign w:val="center"/>
            <w:hideMark/>
          </w:tcPr>
          <w:p w14:paraId="242A6A8D" w14:textId="77777777" w:rsidR="00057E02" w:rsidRPr="00712090" w:rsidRDefault="00057E02" w:rsidP="00F65C73">
            <w:pPr>
              <w:spacing w:after="0" w:line="240" w:lineRule="auto"/>
              <w:jc w:val="center"/>
              <w:rPr>
                <w:rFonts w:ascii="Calibri" w:eastAsia="Times New Roman" w:hAnsi="Calibri" w:cs="Calibri"/>
                <w:b/>
                <w:bCs/>
                <w:color w:val="5B9BD5"/>
                <w:lang w:eastAsia="fr-FR"/>
              </w:rPr>
            </w:pPr>
            <w:r w:rsidRPr="00712090">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0A466769" w14:textId="77777777" w:rsidR="00057E02" w:rsidRPr="00712090" w:rsidRDefault="00057E02" w:rsidP="00F65C73">
            <w:pPr>
              <w:spacing w:after="0" w:line="240" w:lineRule="auto"/>
              <w:jc w:val="center"/>
              <w:rPr>
                <w:rFonts w:ascii="Calibri" w:eastAsia="Times New Roman" w:hAnsi="Calibri" w:cs="Calibri"/>
                <w:lang w:eastAsia="fr-FR"/>
              </w:rPr>
            </w:pPr>
            <w:r w:rsidRPr="00712090">
              <w:rPr>
                <w:rFonts w:ascii="Calibri" w:eastAsia="Times New Roman" w:hAnsi="Calibri" w:cs="Calibri"/>
                <w:lang w:eastAsia="fr-FR"/>
              </w:rPr>
              <w:t>SO01</w:t>
            </w:r>
          </w:p>
        </w:tc>
        <w:tc>
          <w:tcPr>
            <w:tcW w:w="4021" w:type="dxa"/>
            <w:tcBorders>
              <w:top w:val="nil"/>
              <w:left w:val="nil"/>
              <w:bottom w:val="single" w:sz="4" w:space="0" w:color="auto"/>
              <w:right w:val="single" w:sz="4" w:space="0" w:color="auto"/>
            </w:tcBorders>
            <w:shd w:val="clear" w:color="000000" w:fill="FFFFFF"/>
            <w:vAlign w:val="center"/>
            <w:hideMark/>
          </w:tcPr>
          <w:p w14:paraId="49F9E5DC" w14:textId="77777777" w:rsidR="00057E02" w:rsidRPr="00712090" w:rsidRDefault="00057E02" w:rsidP="00F65C73">
            <w:pPr>
              <w:spacing w:after="0" w:line="240" w:lineRule="auto"/>
              <w:rPr>
                <w:rFonts w:ascii="Calibri" w:eastAsia="Times New Roman" w:hAnsi="Calibri" w:cs="Calibri"/>
                <w:lang w:eastAsia="fr-FR"/>
              </w:rPr>
            </w:pPr>
            <w:r w:rsidRPr="00712090">
              <w:rPr>
                <w:rFonts w:ascii="Calibri" w:eastAsia="Times New Roman" w:hAnsi="Calibri" w:cs="Calibri"/>
                <w:lang w:eastAsia="fr-FR"/>
              </w:rPr>
              <w:t xml:space="preserve">Nombre de nouveaux services numériques expérimentés à travers les projets soutenus par le FEDER </w:t>
            </w:r>
          </w:p>
        </w:tc>
        <w:tc>
          <w:tcPr>
            <w:tcW w:w="1121" w:type="dxa"/>
            <w:tcBorders>
              <w:top w:val="nil"/>
              <w:left w:val="nil"/>
              <w:bottom w:val="single" w:sz="4" w:space="0" w:color="auto"/>
              <w:right w:val="single" w:sz="4" w:space="0" w:color="auto"/>
            </w:tcBorders>
            <w:shd w:val="clear" w:color="000000" w:fill="FFFFFF"/>
            <w:vAlign w:val="center"/>
            <w:hideMark/>
          </w:tcPr>
          <w:p w14:paraId="12F4040A" w14:textId="77777777" w:rsidR="00057E02" w:rsidRPr="00712090" w:rsidRDefault="00057E02" w:rsidP="00F65C73">
            <w:pPr>
              <w:spacing w:after="0" w:line="240" w:lineRule="auto"/>
              <w:jc w:val="center"/>
              <w:rPr>
                <w:rFonts w:ascii="Calibri" w:eastAsia="Times New Roman" w:hAnsi="Calibri" w:cs="Calibri"/>
                <w:lang w:eastAsia="fr-FR"/>
              </w:rPr>
            </w:pPr>
            <w:r w:rsidRPr="00712090">
              <w:rPr>
                <w:rFonts w:ascii="Calibri" w:eastAsia="Times New Roman" w:hAnsi="Calibri" w:cs="Calibri"/>
                <w:lang w:eastAsia="fr-FR"/>
              </w:rPr>
              <w:t>10</w:t>
            </w:r>
          </w:p>
        </w:tc>
        <w:tc>
          <w:tcPr>
            <w:tcW w:w="1121" w:type="dxa"/>
            <w:tcBorders>
              <w:top w:val="nil"/>
              <w:left w:val="nil"/>
              <w:bottom w:val="single" w:sz="4" w:space="0" w:color="auto"/>
              <w:right w:val="single" w:sz="4" w:space="0" w:color="auto"/>
            </w:tcBorders>
            <w:shd w:val="clear" w:color="000000" w:fill="FFFFFF"/>
            <w:vAlign w:val="center"/>
            <w:hideMark/>
          </w:tcPr>
          <w:p w14:paraId="364BA250" w14:textId="77777777" w:rsidR="00057E02" w:rsidRPr="00712090" w:rsidRDefault="00057E02" w:rsidP="00F65C73">
            <w:pPr>
              <w:spacing w:after="0" w:line="240" w:lineRule="auto"/>
              <w:jc w:val="center"/>
              <w:rPr>
                <w:rFonts w:ascii="Calibri" w:eastAsia="Times New Roman" w:hAnsi="Calibri" w:cs="Calibri"/>
                <w:lang w:eastAsia="fr-FR"/>
              </w:rPr>
            </w:pPr>
            <w:r w:rsidRPr="00712090">
              <w:rPr>
                <w:rFonts w:ascii="Calibri" w:eastAsia="Times New Roman" w:hAnsi="Calibri" w:cs="Calibri"/>
                <w:lang w:eastAsia="fr-FR"/>
              </w:rPr>
              <w:t>22</w:t>
            </w:r>
          </w:p>
        </w:tc>
        <w:tc>
          <w:tcPr>
            <w:tcW w:w="2414" w:type="dxa"/>
            <w:tcBorders>
              <w:top w:val="nil"/>
              <w:left w:val="nil"/>
              <w:bottom w:val="single" w:sz="4" w:space="0" w:color="auto"/>
              <w:right w:val="single" w:sz="4" w:space="0" w:color="auto"/>
            </w:tcBorders>
            <w:shd w:val="clear" w:color="000000" w:fill="FFFFFF"/>
            <w:vAlign w:val="center"/>
            <w:hideMark/>
          </w:tcPr>
          <w:p w14:paraId="0E9EB720" w14:textId="77777777" w:rsidR="00057E02" w:rsidRPr="00712090" w:rsidRDefault="00057E02" w:rsidP="00F65C73">
            <w:pPr>
              <w:spacing w:after="0" w:line="240" w:lineRule="auto"/>
              <w:jc w:val="center"/>
              <w:rPr>
                <w:rFonts w:ascii="Calibri" w:eastAsia="Times New Roman" w:hAnsi="Calibri" w:cs="Calibri"/>
                <w:lang w:eastAsia="fr-FR"/>
              </w:rPr>
            </w:pPr>
            <w:r w:rsidRPr="00712090">
              <w:rPr>
                <w:rFonts w:ascii="Calibri" w:eastAsia="Times New Roman" w:hAnsi="Calibri" w:cs="Calibri"/>
                <w:lang w:eastAsia="fr-FR"/>
              </w:rPr>
              <w:t>Bilan d'exécution</w:t>
            </w:r>
          </w:p>
        </w:tc>
      </w:tr>
      <w:tr w:rsidR="00057E02" w:rsidRPr="00712090" w14:paraId="64886EFF" w14:textId="77777777" w:rsidTr="00F65C73">
        <w:trPr>
          <w:trHeight w:val="300"/>
        </w:trPr>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5522C" w14:textId="77777777" w:rsidR="00057E02" w:rsidRPr="00712090" w:rsidRDefault="00057E02" w:rsidP="00F65C73">
            <w:pPr>
              <w:spacing w:after="0" w:line="240" w:lineRule="auto"/>
              <w:jc w:val="center"/>
              <w:rPr>
                <w:rFonts w:ascii="Calibri" w:eastAsia="Times New Roman" w:hAnsi="Calibri" w:cs="Calibri"/>
                <w:b/>
                <w:bCs/>
                <w:color w:val="70AD47"/>
                <w:lang w:eastAsia="fr-FR"/>
              </w:rPr>
            </w:pPr>
            <w:r w:rsidRPr="00712090">
              <w:rPr>
                <w:rFonts w:ascii="Calibri" w:eastAsia="Times New Roman" w:hAnsi="Calibri" w:cs="Calibri"/>
                <w:b/>
                <w:bCs/>
                <w:color w:val="70AD47"/>
                <w:lang w:eastAsia="fr-FR"/>
              </w:rPr>
              <w:t>Résultat</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14:paraId="4D9E28F1" w14:textId="77777777" w:rsidR="00057E02" w:rsidRPr="00712090" w:rsidRDefault="00057E02" w:rsidP="00F65C73">
            <w:pPr>
              <w:spacing w:after="0" w:line="240" w:lineRule="auto"/>
              <w:jc w:val="center"/>
              <w:rPr>
                <w:rFonts w:ascii="Calibri" w:eastAsia="Times New Roman" w:hAnsi="Calibri" w:cs="Calibri"/>
                <w:lang w:eastAsia="fr-FR"/>
              </w:rPr>
            </w:pPr>
            <w:r w:rsidRPr="00712090">
              <w:rPr>
                <w:rFonts w:ascii="Calibri" w:eastAsia="Times New Roman" w:hAnsi="Calibri" w:cs="Calibri"/>
                <w:lang w:eastAsia="fr-FR"/>
              </w:rPr>
              <w:t>RCR11</w:t>
            </w:r>
          </w:p>
        </w:tc>
        <w:tc>
          <w:tcPr>
            <w:tcW w:w="4021" w:type="dxa"/>
            <w:tcBorders>
              <w:top w:val="single" w:sz="4" w:space="0" w:color="auto"/>
              <w:left w:val="nil"/>
              <w:bottom w:val="single" w:sz="4" w:space="0" w:color="auto"/>
              <w:right w:val="single" w:sz="4" w:space="0" w:color="auto"/>
            </w:tcBorders>
            <w:shd w:val="clear" w:color="000000" w:fill="FFFFFF"/>
            <w:vAlign w:val="center"/>
            <w:hideMark/>
          </w:tcPr>
          <w:p w14:paraId="47957FEA" w14:textId="77777777" w:rsidR="00057E02" w:rsidRPr="00712090" w:rsidRDefault="00057E02" w:rsidP="00F65C73">
            <w:pPr>
              <w:spacing w:after="0" w:line="240" w:lineRule="auto"/>
              <w:rPr>
                <w:rFonts w:ascii="Calibri" w:eastAsia="Times New Roman" w:hAnsi="Calibri" w:cs="Calibri"/>
                <w:lang w:eastAsia="fr-FR"/>
              </w:rPr>
            </w:pPr>
            <w:r w:rsidRPr="00712090">
              <w:rPr>
                <w:rFonts w:ascii="Calibri" w:eastAsia="Times New Roman" w:hAnsi="Calibri" w:cs="Calibri"/>
                <w:lang w:eastAsia="fr-FR"/>
              </w:rPr>
              <w:t>Utilisateurs de services, produits et processus numériques publics, nouveaux et réaménagés</w:t>
            </w:r>
          </w:p>
        </w:tc>
        <w:tc>
          <w:tcPr>
            <w:tcW w:w="1121" w:type="dxa"/>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4D591018" w14:textId="77777777" w:rsidR="00057E02" w:rsidRPr="00712090" w:rsidRDefault="00057E02" w:rsidP="00F65C73">
            <w:pPr>
              <w:spacing w:after="0" w:line="240" w:lineRule="auto"/>
              <w:jc w:val="center"/>
              <w:rPr>
                <w:rFonts w:ascii="Calibri" w:eastAsia="Times New Roman" w:hAnsi="Calibri" w:cs="Calibri"/>
                <w:lang w:eastAsia="fr-FR"/>
              </w:rPr>
            </w:pPr>
            <w:r w:rsidRPr="00712090">
              <w:rPr>
                <w:rFonts w:ascii="Calibri" w:eastAsia="Times New Roman" w:hAnsi="Calibri" w:cs="Calibri"/>
                <w:lang w:eastAsia="fr-FR"/>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6CCB4B9F" w14:textId="77777777" w:rsidR="00057E02" w:rsidRPr="00712090" w:rsidRDefault="00057E02" w:rsidP="00F65C73">
            <w:pPr>
              <w:spacing w:after="0" w:line="240" w:lineRule="auto"/>
              <w:jc w:val="center"/>
              <w:rPr>
                <w:rFonts w:ascii="Calibri" w:eastAsia="Times New Roman" w:hAnsi="Calibri" w:cs="Calibri"/>
                <w:lang w:eastAsia="fr-FR"/>
              </w:rPr>
            </w:pPr>
            <w:r w:rsidRPr="00712090">
              <w:rPr>
                <w:rFonts w:ascii="Calibri" w:eastAsia="Times New Roman" w:hAnsi="Calibri" w:cs="Calibri"/>
                <w:lang w:eastAsia="fr-FR"/>
              </w:rPr>
              <w:t>212 134</w:t>
            </w:r>
          </w:p>
        </w:tc>
        <w:tc>
          <w:tcPr>
            <w:tcW w:w="2414" w:type="dxa"/>
            <w:tcBorders>
              <w:top w:val="single" w:sz="4" w:space="0" w:color="auto"/>
              <w:left w:val="nil"/>
              <w:bottom w:val="single" w:sz="4" w:space="0" w:color="auto"/>
              <w:right w:val="single" w:sz="4" w:space="0" w:color="auto"/>
            </w:tcBorders>
            <w:shd w:val="clear" w:color="000000" w:fill="FFFFFF"/>
            <w:vAlign w:val="center"/>
            <w:hideMark/>
          </w:tcPr>
          <w:p w14:paraId="4E2109F9" w14:textId="77777777" w:rsidR="00057E02" w:rsidRPr="00712090" w:rsidRDefault="00057E02" w:rsidP="00F65C73">
            <w:pPr>
              <w:spacing w:after="0" w:line="240" w:lineRule="auto"/>
              <w:jc w:val="center"/>
              <w:rPr>
                <w:rFonts w:ascii="Calibri" w:eastAsia="Times New Roman" w:hAnsi="Calibri" w:cs="Calibri"/>
                <w:lang w:eastAsia="fr-FR"/>
              </w:rPr>
            </w:pPr>
            <w:r w:rsidRPr="00712090">
              <w:rPr>
                <w:rFonts w:ascii="Calibri" w:eastAsia="Times New Roman" w:hAnsi="Calibri" w:cs="Calibri"/>
                <w:lang w:eastAsia="fr-FR"/>
              </w:rPr>
              <w:t>Attestation déclarative</w:t>
            </w:r>
          </w:p>
        </w:tc>
      </w:tr>
    </w:tbl>
    <w:p w14:paraId="611708CC" w14:textId="77777777" w:rsidR="00057E02" w:rsidRDefault="00057E02" w:rsidP="00057E02">
      <w:pPr>
        <w:pStyle w:val="Sansinterligne"/>
        <w:jc w:val="both"/>
        <w:rPr>
          <w:b/>
          <w:bCs/>
          <w:color w:val="FFFFFF" w:themeColor="background1"/>
          <w:sz w:val="28"/>
          <w:szCs w:val="28"/>
          <w:shd w:val="clear" w:color="auto" w:fill="7030A0"/>
        </w:rPr>
      </w:pPr>
    </w:p>
    <w:p w14:paraId="6ACA4E32" w14:textId="77777777" w:rsidR="00057E02" w:rsidRDefault="00057E02" w:rsidP="00057E02">
      <w:pPr>
        <w:pStyle w:val="Sansinterligne"/>
        <w:jc w:val="both"/>
        <w:rPr>
          <w:b/>
          <w:bCs/>
          <w:color w:val="FFFFFF" w:themeColor="background1"/>
          <w:sz w:val="28"/>
          <w:szCs w:val="28"/>
          <w:shd w:val="clear" w:color="auto" w:fill="7030A0"/>
        </w:rPr>
      </w:pPr>
    </w:p>
    <w:p w14:paraId="4BB963FC" w14:textId="77777777" w:rsidR="00057E02" w:rsidRPr="002C70D5" w:rsidRDefault="00057E02" w:rsidP="00057E02">
      <w:pPr>
        <w:pStyle w:val="Sansinterligne"/>
        <w:shd w:val="clear" w:color="auto" w:fill="E2CFF1"/>
        <w:jc w:val="both"/>
        <w:rPr>
          <w:b/>
          <w:bCs/>
          <w:sz w:val="28"/>
          <w:szCs w:val="28"/>
        </w:rPr>
      </w:pPr>
      <w:proofErr w:type="gramStart"/>
      <w:r w:rsidRPr="00DB5B1E">
        <w:rPr>
          <w:b/>
          <w:bCs/>
          <w:color w:val="FFFFFF" w:themeColor="background1"/>
          <w:sz w:val="28"/>
          <w:szCs w:val="28"/>
          <w:shd w:val="clear" w:color="auto" w:fill="7030A0"/>
        </w:rPr>
        <w:t>PERFORMANCE </w:t>
      </w:r>
      <w:r>
        <w:rPr>
          <w:b/>
          <w:bCs/>
          <w:sz w:val="28"/>
          <w:szCs w:val="28"/>
        </w:rPr>
        <w:t xml:space="preserve"> </w:t>
      </w:r>
      <w:r>
        <w:rPr>
          <w:b/>
          <w:bCs/>
          <w:color w:val="002060"/>
          <w:sz w:val="28"/>
          <w:szCs w:val="28"/>
        </w:rPr>
        <w:t>Cibles</w:t>
      </w:r>
      <w:proofErr w:type="gramEnd"/>
      <w:r>
        <w:rPr>
          <w:b/>
          <w:bCs/>
          <w:color w:val="002060"/>
          <w:sz w:val="28"/>
          <w:szCs w:val="28"/>
        </w:rPr>
        <w:t xml:space="preserve"> financières à atteindre sur l’action</w:t>
      </w:r>
    </w:p>
    <w:p w14:paraId="223D8747" w14:textId="77777777" w:rsidR="00057E02" w:rsidRDefault="00057E02" w:rsidP="00057E02">
      <w:pPr>
        <w:pStyle w:val="Sansinterligne"/>
        <w:jc w:val="both"/>
      </w:pPr>
    </w:p>
    <w:p w14:paraId="2D7B6245" w14:textId="77777777" w:rsidR="00057E02" w:rsidRPr="003077B1" w:rsidRDefault="00057E02" w:rsidP="00057E02">
      <w:pPr>
        <w:pStyle w:val="Sansinterligne"/>
        <w:jc w:val="both"/>
        <w:rPr>
          <w:b/>
          <w:bCs/>
        </w:rPr>
      </w:pPr>
      <w:r>
        <w:rPr>
          <w:b/>
          <w:bCs/>
        </w:rPr>
        <w:t xml:space="preserve">7 000 000 </w:t>
      </w:r>
      <w:r w:rsidRPr="003077B1">
        <w:rPr>
          <w:b/>
          <w:bCs/>
        </w:rPr>
        <w:t>€</w:t>
      </w:r>
    </w:p>
    <w:p w14:paraId="7175C2BC" w14:textId="77777777" w:rsidR="00057E02" w:rsidRDefault="00057E02" w:rsidP="00057E02">
      <w:pPr>
        <w:pStyle w:val="Sansinterligne"/>
        <w:jc w:val="both"/>
      </w:pPr>
    </w:p>
    <w:p w14:paraId="4DBCA60D" w14:textId="77777777" w:rsidR="00057E02" w:rsidRPr="002C70D5" w:rsidRDefault="00057E02" w:rsidP="00057E02">
      <w:pPr>
        <w:pStyle w:val="Sansinterligne"/>
        <w:shd w:val="clear" w:color="auto" w:fill="E2CFF1"/>
        <w:jc w:val="both"/>
        <w:rPr>
          <w:b/>
          <w:bCs/>
          <w:sz w:val="28"/>
          <w:szCs w:val="28"/>
        </w:rPr>
      </w:pPr>
      <w:proofErr w:type="gramStart"/>
      <w:r w:rsidRPr="00DB5B1E">
        <w:rPr>
          <w:b/>
          <w:bCs/>
          <w:color w:val="FFFFFF" w:themeColor="background1"/>
          <w:sz w:val="28"/>
          <w:szCs w:val="28"/>
          <w:shd w:val="clear" w:color="auto" w:fill="7030A0"/>
        </w:rPr>
        <w:t>PERFORMANCE </w:t>
      </w:r>
      <w:r>
        <w:rPr>
          <w:b/>
          <w:bCs/>
          <w:sz w:val="28"/>
          <w:szCs w:val="28"/>
        </w:rPr>
        <w:t xml:space="preserve"> </w:t>
      </w:r>
      <w:r>
        <w:rPr>
          <w:b/>
          <w:bCs/>
          <w:color w:val="002060"/>
          <w:sz w:val="28"/>
          <w:szCs w:val="28"/>
        </w:rPr>
        <w:t>Instruments</w:t>
      </w:r>
      <w:proofErr w:type="gramEnd"/>
      <w:r>
        <w:rPr>
          <w:b/>
          <w:bCs/>
          <w:color w:val="002060"/>
          <w:sz w:val="28"/>
          <w:szCs w:val="28"/>
        </w:rPr>
        <w:t xml:space="preserve"> financiers applicables</w:t>
      </w:r>
    </w:p>
    <w:p w14:paraId="593B0F06" w14:textId="77777777" w:rsidR="00057E02" w:rsidRDefault="00057E02" w:rsidP="00057E02">
      <w:pPr>
        <w:pStyle w:val="Sansinterligne"/>
        <w:jc w:val="both"/>
      </w:pPr>
    </w:p>
    <w:tbl>
      <w:tblPr>
        <w:tblStyle w:val="Grilledutableau"/>
        <w:tblW w:w="10632" w:type="dxa"/>
        <w:tblBorders>
          <w:top w:val="none" w:sz="0" w:space="0" w:color="auto"/>
          <w:left w:val="none" w:sz="0" w:space="0" w:color="auto"/>
        </w:tblBorders>
        <w:tblLook w:val="04A0" w:firstRow="1" w:lastRow="0" w:firstColumn="1" w:lastColumn="0" w:noHBand="0" w:noVBand="1"/>
      </w:tblPr>
      <w:tblGrid>
        <w:gridCol w:w="9067"/>
        <w:gridCol w:w="1565"/>
      </w:tblGrid>
      <w:tr w:rsidR="00057E02" w14:paraId="69DD012F" w14:textId="77777777" w:rsidTr="00F65C73">
        <w:tc>
          <w:tcPr>
            <w:tcW w:w="9067" w:type="dxa"/>
            <w:tcBorders>
              <w:bottom w:val="single" w:sz="4" w:space="0" w:color="auto"/>
            </w:tcBorders>
            <w:vAlign w:val="center"/>
          </w:tcPr>
          <w:p w14:paraId="49BC2BE6" w14:textId="77777777" w:rsidR="00057E02" w:rsidRDefault="00057E02" w:rsidP="00F65C73">
            <w:pPr>
              <w:pStyle w:val="Sansinterligne"/>
              <w:jc w:val="center"/>
            </w:pPr>
          </w:p>
        </w:tc>
        <w:tc>
          <w:tcPr>
            <w:tcW w:w="1565" w:type="dxa"/>
            <w:tcBorders>
              <w:top w:val="single" w:sz="4" w:space="0" w:color="auto"/>
            </w:tcBorders>
            <w:vAlign w:val="center"/>
          </w:tcPr>
          <w:p w14:paraId="52ED04C6" w14:textId="77777777" w:rsidR="00057E02" w:rsidRPr="003077B1" w:rsidRDefault="00057E02" w:rsidP="00F65C73">
            <w:pPr>
              <w:pStyle w:val="Sansinterligne"/>
              <w:jc w:val="center"/>
              <w:rPr>
                <w:b/>
                <w:bCs/>
              </w:rPr>
            </w:pPr>
            <w:r w:rsidRPr="003077B1">
              <w:rPr>
                <w:b/>
                <w:bCs/>
                <w:color w:val="002060"/>
              </w:rPr>
              <w:t>Mobilisable sur l’action</w:t>
            </w:r>
          </w:p>
        </w:tc>
      </w:tr>
      <w:tr w:rsidR="00057E02" w14:paraId="6A820885" w14:textId="77777777" w:rsidTr="00F65C73">
        <w:tc>
          <w:tcPr>
            <w:tcW w:w="9067" w:type="dxa"/>
            <w:tcBorders>
              <w:top w:val="single" w:sz="4" w:space="0" w:color="auto"/>
              <w:left w:val="single" w:sz="4" w:space="0" w:color="auto"/>
            </w:tcBorders>
            <w:vAlign w:val="center"/>
          </w:tcPr>
          <w:p w14:paraId="5E835F6F" w14:textId="77777777" w:rsidR="00057E02" w:rsidRDefault="00057E02" w:rsidP="00F65C73">
            <w:pPr>
              <w:pStyle w:val="Sansinterligne"/>
            </w:pPr>
            <w:r>
              <w:t>1 – Subvention non remboursable</w:t>
            </w:r>
          </w:p>
        </w:tc>
        <w:tc>
          <w:tcPr>
            <w:tcW w:w="1565" w:type="dxa"/>
            <w:vAlign w:val="center"/>
          </w:tcPr>
          <w:p w14:paraId="70F10CB9" w14:textId="77777777" w:rsidR="00057E02" w:rsidRDefault="00057E02" w:rsidP="00F65C73">
            <w:pPr>
              <w:pStyle w:val="Sansinterligne"/>
              <w:jc w:val="center"/>
            </w:pPr>
            <w:r>
              <w:rPr>
                <w:b/>
                <w:bCs/>
                <w:noProof/>
                <w:color w:val="002060"/>
              </w:rPr>
              <w:drawing>
                <wp:inline distT="0" distB="0" distL="0" distR="0" wp14:anchorId="744BCF17" wp14:editId="1B5489E9">
                  <wp:extent cx="262393" cy="262393"/>
                  <wp:effectExtent l="0" t="0" r="4445" b="4445"/>
                  <wp:docPr id="784945882" name="Graphique 78494588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057E02" w14:paraId="53FD35AA" w14:textId="77777777" w:rsidTr="00F65C73">
        <w:tc>
          <w:tcPr>
            <w:tcW w:w="9067" w:type="dxa"/>
            <w:tcBorders>
              <w:top w:val="single" w:sz="4" w:space="0" w:color="auto"/>
              <w:left w:val="single" w:sz="4" w:space="0" w:color="auto"/>
            </w:tcBorders>
            <w:vAlign w:val="center"/>
          </w:tcPr>
          <w:p w14:paraId="198DC523" w14:textId="77777777" w:rsidR="00057E02" w:rsidRDefault="00057E02" w:rsidP="00F65C73">
            <w:pPr>
              <w:pStyle w:val="Sansinterligne"/>
            </w:pPr>
            <w:r>
              <w:t>2 – Subvention remboursable</w:t>
            </w:r>
          </w:p>
        </w:tc>
        <w:tc>
          <w:tcPr>
            <w:tcW w:w="1565" w:type="dxa"/>
            <w:vAlign w:val="center"/>
          </w:tcPr>
          <w:p w14:paraId="6ED09BFD" w14:textId="77777777" w:rsidR="00057E02" w:rsidRDefault="00057E02" w:rsidP="00F65C73">
            <w:pPr>
              <w:pStyle w:val="Sansinterligne"/>
              <w:jc w:val="center"/>
            </w:pPr>
            <w:r>
              <w:rPr>
                <w:b/>
                <w:bCs/>
                <w:noProof/>
                <w:color w:val="002060"/>
              </w:rPr>
              <w:drawing>
                <wp:inline distT="0" distB="0" distL="0" distR="0" wp14:anchorId="153B807F" wp14:editId="26BD3B3D">
                  <wp:extent cx="230588" cy="230588"/>
                  <wp:effectExtent l="0" t="0" r="0" b="0"/>
                  <wp:docPr id="784945883" name="Graphique 78494588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057E02" w14:paraId="143501BC" w14:textId="77777777" w:rsidTr="00F65C73">
        <w:tc>
          <w:tcPr>
            <w:tcW w:w="9067" w:type="dxa"/>
            <w:tcBorders>
              <w:top w:val="single" w:sz="4" w:space="0" w:color="auto"/>
              <w:left w:val="single" w:sz="4" w:space="0" w:color="auto"/>
            </w:tcBorders>
            <w:vAlign w:val="center"/>
          </w:tcPr>
          <w:p w14:paraId="3400A53B" w14:textId="77777777" w:rsidR="00057E02" w:rsidRDefault="00057E02" w:rsidP="00F65C73">
            <w:pPr>
              <w:pStyle w:val="Sansinterligne"/>
            </w:pPr>
            <w:r>
              <w:t xml:space="preserve">3 – </w:t>
            </w:r>
            <w:r w:rsidRPr="003077B1">
              <w:t>Soutien par le biais d’instruments financiers : capital risque et de fonds propres ou équivalent</w:t>
            </w:r>
          </w:p>
        </w:tc>
        <w:tc>
          <w:tcPr>
            <w:tcW w:w="1565" w:type="dxa"/>
            <w:vAlign w:val="center"/>
          </w:tcPr>
          <w:p w14:paraId="17CFA68C" w14:textId="77777777" w:rsidR="00057E02" w:rsidRDefault="00057E02" w:rsidP="00F65C73">
            <w:pPr>
              <w:pStyle w:val="Sansinterligne"/>
              <w:jc w:val="center"/>
            </w:pPr>
            <w:r>
              <w:rPr>
                <w:b/>
                <w:bCs/>
                <w:noProof/>
                <w:color w:val="002060"/>
              </w:rPr>
              <w:drawing>
                <wp:inline distT="0" distB="0" distL="0" distR="0" wp14:anchorId="4496685B" wp14:editId="592E32B0">
                  <wp:extent cx="230588" cy="230588"/>
                  <wp:effectExtent l="0" t="0" r="0" b="0"/>
                  <wp:docPr id="784945884" name="Graphique 78494588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057E02" w14:paraId="10B1E7E2" w14:textId="77777777" w:rsidTr="00F65C73">
        <w:tc>
          <w:tcPr>
            <w:tcW w:w="9067" w:type="dxa"/>
            <w:tcBorders>
              <w:top w:val="single" w:sz="4" w:space="0" w:color="auto"/>
              <w:left w:val="single" w:sz="4" w:space="0" w:color="auto"/>
            </w:tcBorders>
            <w:vAlign w:val="center"/>
          </w:tcPr>
          <w:p w14:paraId="5090379A" w14:textId="77777777" w:rsidR="00057E02" w:rsidRDefault="00057E02" w:rsidP="00F65C73">
            <w:pPr>
              <w:pStyle w:val="Sansinterligne"/>
            </w:pPr>
            <w:r>
              <w:t xml:space="preserve">4 – </w:t>
            </w:r>
            <w:r w:rsidRPr="003077B1">
              <w:t>Soutien par le biais d’instruments financiers : prêt ou équivalent</w:t>
            </w:r>
          </w:p>
        </w:tc>
        <w:tc>
          <w:tcPr>
            <w:tcW w:w="1565" w:type="dxa"/>
            <w:vAlign w:val="center"/>
          </w:tcPr>
          <w:p w14:paraId="47B1F286" w14:textId="77777777" w:rsidR="00057E02" w:rsidRDefault="00057E02" w:rsidP="00F65C73">
            <w:pPr>
              <w:pStyle w:val="Sansinterligne"/>
              <w:jc w:val="center"/>
            </w:pPr>
            <w:r>
              <w:rPr>
                <w:b/>
                <w:bCs/>
                <w:noProof/>
                <w:color w:val="002060"/>
              </w:rPr>
              <w:drawing>
                <wp:inline distT="0" distB="0" distL="0" distR="0" wp14:anchorId="5C5B7CA7" wp14:editId="3CC9F007">
                  <wp:extent cx="230588" cy="230588"/>
                  <wp:effectExtent l="0" t="0" r="0" b="0"/>
                  <wp:docPr id="784945885" name="Graphique 78494588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057E02" w14:paraId="708997C3" w14:textId="77777777" w:rsidTr="00F65C73">
        <w:tc>
          <w:tcPr>
            <w:tcW w:w="9067" w:type="dxa"/>
            <w:tcBorders>
              <w:top w:val="single" w:sz="4" w:space="0" w:color="auto"/>
              <w:left w:val="single" w:sz="4" w:space="0" w:color="auto"/>
            </w:tcBorders>
            <w:vAlign w:val="center"/>
          </w:tcPr>
          <w:p w14:paraId="14197D7B" w14:textId="77777777" w:rsidR="00057E02" w:rsidRDefault="00057E02" w:rsidP="00F65C73">
            <w:pPr>
              <w:pStyle w:val="Sansinterligne"/>
            </w:pPr>
            <w:r>
              <w:t xml:space="preserve">5 – </w:t>
            </w:r>
            <w:r w:rsidRPr="003077B1">
              <w:t>Soutien par le biais d’instruments financiers : garantie ou équivalent</w:t>
            </w:r>
          </w:p>
        </w:tc>
        <w:tc>
          <w:tcPr>
            <w:tcW w:w="1565" w:type="dxa"/>
            <w:vAlign w:val="center"/>
          </w:tcPr>
          <w:p w14:paraId="30EF89E3" w14:textId="77777777" w:rsidR="00057E02" w:rsidRDefault="00057E02" w:rsidP="00F65C73">
            <w:pPr>
              <w:pStyle w:val="Sansinterligne"/>
              <w:jc w:val="center"/>
            </w:pPr>
            <w:r>
              <w:rPr>
                <w:b/>
                <w:bCs/>
                <w:noProof/>
                <w:color w:val="002060"/>
              </w:rPr>
              <w:drawing>
                <wp:inline distT="0" distB="0" distL="0" distR="0" wp14:anchorId="2A0A22D2" wp14:editId="61E6A9CE">
                  <wp:extent cx="230588" cy="230588"/>
                  <wp:effectExtent l="0" t="0" r="0" b="0"/>
                  <wp:docPr id="784945886" name="Graphique 78494588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057E02" w14:paraId="55D41CE6" w14:textId="77777777" w:rsidTr="00F65C73">
        <w:tc>
          <w:tcPr>
            <w:tcW w:w="9067" w:type="dxa"/>
            <w:tcBorders>
              <w:top w:val="single" w:sz="4" w:space="0" w:color="auto"/>
              <w:left w:val="single" w:sz="4" w:space="0" w:color="auto"/>
            </w:tcBorders>
            <w:vAlign w:val="center"/>
          </w:tcPr>
          <w:p w14:paraId="69900CEC" w14:textId="77777777" w:rsidR="00057E02" w:rsidRDefault="00057E02" w:rsidP="00F65C73">
            <w:pPr>
              <w:pStyle w:val="Sansinterligne"/>
            </w:pPr>
            <w:r>
              <w:t xml:space="preserve">6 – </w:t>
            </w:r>
            <w:r w:rsidRPr="003077B1">
              <w:t>Soutien par le biais d’instruments financiers : bonifications d’intérêt, contributions aux primes de garantie, soutien technique ou équivalent</w:t>
            </w:r>
          </w:p>
        </w:tc>
        <w:tc>
          <w:tcPr>
            <w:tcW w:w="1565" w:type="dxa"/>
            <w:vAlign w:val="center"/>
          </w:tcPr>
          <w:p w14:paraId="564CA7F4" w14:textId="77777777" w:rsidR="00057E02" w:rsidRDefault="00057E02" w:rsidP="00F65C73">
            <w:pPr>
              <w:pStyle w:val="Sansinterligne"/>
              <w:jc w:val="center"/>
            </w:pPr>
            <w:r>
              <w:rPr>
                <w:b/>
                <w:bCs/>
                <w:noProof/>
                <w:color w:val="002060"/>
              </w:rPr>
              <w:drawing>
                <wp:inline distT="0" distB="0" distL="0" distR="0" wp14:anchorId="690D23AB" wp14:editId="381E3D2D">
                  <wp:extent cx="230588" cy="230588"/>
                  <wp:effectExtent l="0" t="0" r="0" b="0"/>
                  <wp:docPr id="784945887" name="Graphique 78494588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bl>
    <w:p w14:paraId="4565748D" w14:textId="77777777" w:rsidR="00057E02" w:rsidRDefault="00057E02" w:rsidP="00057E02">
      <w:pPr>
        <w:pStyle w:val="Sansinterligne"/>
        <w:jc w:val="both"/>
      </w:pPr>
    </w:p>
    <w:p w14:paraId="60352C9F" w14:textId="77777777" w:rsidR="00057E02" w:rsidRPr="002C70D5" w:rsidRDefault="00057E02" w:rsidP="00057E02">
      <w:pPr>
        <w:pStyle w:val="Sansinterligne"/>
        <w:shd w:val="clear" w:color="auto" w:fill="D9D9D9" w:themeFill="background1" w:themeFillShade="D9"/>
        <w:jc w:val="both"/>
        <w:rPr>
          <w:b/>
          <w:bCs/>
          <w:sz w:val="28"/>
          <w:szCs w:val="28"/>
        </w:rPr>
      </w:pPr>
      <w:r w:rsidRPr="00FD0AB3">
        <w:rPr>
          <w:b/>
          <w:bCs/>
          <w:color w:val="FFFFFF" w:themeColor="background1"/>
          <w:sz w:val="28"/>
          <w:szCs w:val="28"/>
          <w:shd w:val="clear" w:color="auto" w:fill="A5A5A5" w:themeFill="accent3"/>
        </w:rPr>
        <w:t xml:space="preserve">ADMINISTRATION </w:t>
      </w:r>
      <w:r>
        <w:rPr>
          <w:b/>
          <w:bCs/>
          <w:sz w:val="28"/>
          <w:szCs w:val="28"/>
        </w:rPr>
        <w:t xml:space="preserve">  </w:t>
      </w:r>
      <w:r>
        <w:rPr>
          <w:b/>
          <w:bCs/>
          <w:color w:val="002060"/>
          <w:sz w:val="28"/>
          <w:szCs w:val="28"/>
        </w:rPr>
        <w:t>Partie réservée à l’administration</w:t>
      </w:r>
    </w:p>
    <w:p w14:paraId="72FDC313" w14:textId="77777777" w:rsidR="00057E02" w:rsidRDefault="00057E02" w:rsidP="00057E02">
      <w:pPr>
        <w:pStyle w:val="Sansinterligne"/>
        <w:jc w:val="both"/>
      </w:pPr>
    </w:p>
    <w:p w14:paraId="0C319EA6" w14:textId="77777777" w:rsidR="00057E02" w:rsidRDefault="00057E02" w:rsidP="00057E02">
      <w:pPr>
        <w:pStyle w:val="Sansinterligne"/>
        <w:jc w:val="both"/>
      </w:pPr>
      <w:r w:rsidRPr="003077B1">
        <w:rPr>
          <w:b/>
          <w:bCs/>
          <w:color w:val="002060"/>
        </w:rPr>
        <w:t>Service instructeur :</w:t>
      </w:r>
      <w:r>
        <w:t xml:space="preserve"> service PO FEDER-FSE – Direction Europe et International – Conseil régional Centre-Val de Loire</w:t>
      </w:r>
    </w:p>
    <w:p w14:paraId="66A00BC3" w14:textId="77777777" w:rsidR="00057E02" w:rsidRDefault="00057E02" w:rsidP="00057E02">
      <w:pPr>
        <w:pStyle w:val="Sansinterligne"/>
        <w:jc w:val="both"/>
        <w:rPr>
          <w:b/>
          <w:bCs/>
          <w:color w:val="002060"/>
        </w:rPr>
      </w:pPr>
    </w:p>
    <w:p w14:paraId="24F0204B" w14:textId="77777777" w:rsidR="00057E02" w:rsidRDefault="00057E02" w:rsidP="00057E02">
      <w:pPr>
        <w:pStyle w:val="Sansinterligne"/>
        <w:jc w:val="both"/>
        <w:rPr>
          <w:b/>
          <w:bCs/>
        </w:rPr>
      </w:pPr>
      <w:r w:rsidRPr="003077B1">
        <w:rPr>
          <w:b/>
          <w:bCs/>
          <w:color w:val="002060"/>
        </w:rPr>
        <w:t>Services et organismes consultés pour avis :</w:t>
      </w:r>
      <w:r w:rsidRPr="003077B1">
        <w:rPr>
          <w:b/>
          <w:bCs/>
        </w:rPr>
        <w:t xml:space="preserve"> </w:t>
      </w:r>
    </w:p>
    <w:p w14:paraId="2B1398AA" w14:textId="77777777" w:rsidR="00057E02" w:rsidRPr="004D3B20" w:rsidRDefault="00057E02" w:rsidP="00057E02">
      <w:pPr>
        <w:pStyle w:val="Sansinterligne"/>
        <w:numPr>
          <w:ilvl w:val="0"/>
          <w:numId w:val="1"/>
        </w:numPr>
        <w:jc w:val="both"/>
        <w:rPr>
          <w:b/>
          <w:bCs/>
        </w:rPr>
      </w:pPr>
      <w:r w:rsidRPr="004D3B20">
        <w:t>Direction d</w:t>
      </w:r>
      <w:r w:rsidRPr="004D3B20">
        <w:rPr>
          <w:rStyle w:val="profil-department"/>
        </w:rPr>
        <w:t>e l'Appui à la Donnée, Au Pilotage et aux Transitions</w:t>
      </w:r>
      <w:r w:rsidRPr="004D3B20">
        <w:t xml:space="preserve"> (ADAPT) – Conseil régional- Centre-Val de Loire</w:t>
      </w:r>
    </w:p>
    <w:p w14:paraId="29D48D2C" w14:textId="77777777" w:rsidR="00057E02" w:rsidRDefault="00057E02" w:rsidP="00057E02">
      <w:pPr>
        <w:pStyle w:val="Sansinterligne"/>
        <w:numPr>
          <w:ilvl w:val="0"/>
          <w:numId w:val="1"/>
        </w:numPr>
        <w:jc w:val="both"/>
      </w:pPr>
      <w:r>
        <w:t>Direction de l’Enseignement Supérieur, de la Recherche et du Transfert de Technologies (DESRTT) – Conseil régional Centre-Val de Loire</w:t>
      </w:r>
    </w:p>
    <w:p w14:paraId="5A389B89" w14:textId="77777777" w:rsidR="00057E02" w:rsidRDefault="00057E02" w:rsidP="00057E02">
      <w:pPr>
        <w:pStyle w:val="Sansinterligne"/>
        <w:numPr>
          <w:ilvl w:val="0"/>
          <w:numId w:val="1"/>
        </w:numPr>
        <w:jc w:val="both"/>
      </w:pPr>
      <w:r>
        <w:t>Direction de l’Economie (DE) – Conseil régional Centre-Val de Loire</w:t>
      </w:r>
    </w:p>
    <w:p w14:paraId="48B3CCB5" w14:textId="77777777" w:rsidR="00057E02" w:rsidRDefault="00057E02" w:rsidP="00057E02">
      <w:pPr>
        <w:pStyle w:val="Sansinterligne"/>
        <w:numPr>
          <w:ilvl w:val="0"/>
          <w:numId w:val="1"/>
        </w:numPr>
        <w:jc w:val="both"/>
      </w:pPr>
      <w:r>
        <w:t>Délégation Régionale Académique à la Recherche et à l’Innovation (DRARI) – Etat</w:t>
      </w:r>
    </w:p>
    <w:p w14:paraId="34C111D9" w14:textId="77777777" w:rsidR="00057E02" w:rsidRPr="00185387" w:rsidRDefault="00057E02" w:rsidP="00057E02">
      <w:pPr>
        <w:pStyle w:val="Sansinterligne"/>
        <w:numPr>
          <w:ilvl w:val="0"/>
          <w:numId w:val="1"/>
        </w:numPr>
        <w:jc w:val="both"/>
      </w:pPr>
      <w:r>
        <w:t>Direction Régionale de l’Economie, de l’Emploi, du Travail et des Solidarités (DREETS) - Etat</w:t>
      </w:r>
    </w:p>
    <w:p w14:paraId="6DD6805B" w14:textId="77777777" w:rsidR="00057E02" w:rsidRDefault="00057E02" w:rsidP="00057E02">
      <w:pPr>
        <w:pStyle w:val="Sansinterligne"/>
        <w:jc w:val="both"/>
      </w:pPr>
    </w:p>
    <w:p w14:paraId="59070AAF" w14:textId="77777777" w:rsidR="00057E02" w:rsidRDefault="00057E02" w:rsidP="00057E02">
      <w:pPr>
        <w:pStyle w:val="Sansinterligne"/>
        <w:jc w:val="both"/>
      </w:pPr>
      <w:r w:rsidRPr="00674BBC">
        <w:rPr>
          <w:b/>
          <w:bCs/>
          <w:color w:val="002060"/>
        </w:rPr>
        <w:t>Organismes à consulter pour information :</w:t>
      </w:r>
      <w:r w:rsidRPr="00674BBC">
        <w:rPr>
          <w:color w:val="002060"/>
        </w:rPr>
        <w:t xml:space="preserve"> </w:t>
      </w:r>
      <w:r>
        <w:t>sans objet</w:t>
      </w:r>
    </w:p>
    <w:p w14:paraId="7E31BD81" w14:textId="77777777" w:rsidR="00057E02" w:rsidRDefault="00057E02" w:rsidP="00057E02">
      <w:pPr>
        <w:pStyle w:val="Sansinterligne"/>
        <w:jc w:val="both"/>
      </w:pPr>
    </w:p>
    <w:p w14:paraId="553FE736" w14:textId="77777777" w:rsidR="00057E02" w:rsidRPr="002C70D5" w:rsidRDefault="00057E02" w:rsidP="00057E02">
      <w:pPr>
        <w:pStyle w:val="Sansinterligne"/>
        <w:shd w:val="clear" w:color="auto" w:fill="D9D9D9" w:themeFill="background1" w:themeFillShade="D9"/>
        <w:jc w:val="both"/>
        <w:rPr>
          <w:b/>
          <w:bCs/>
          <w:sz w:val="28"/>
          <w:szCs w:val="28"/>
        </w:rPr>
      </w:pPr>
      <w:r w:rsidRPr="00FD0AB3">
        <w:rPr>
          <w:b/>
          <w:bCs/>
          <w:color w:val="FFFFFF" w:themeColor="background1"/>
          <w:sz w:val="28"/>
          <w:szCs w:val="28"/>
          <w:shd w:val="clear" w:color="auto" w:fill="A5A5A5" w:themeFill="accent3"/>
        </w:rPr>
        <w:t xml:space="preserve">ADMINISTRATION </w:t>
      </w:r>
      <w:r>
        <w:rPr>
          <w:b/>
          <w:bCs/>
          <w:sz w:val="28"/>
          <w:szCs w:val="28"/>
        </w:rPr>
        <w:t xml:space="preserve">  </w:t>
      </w:r>
      <w:r>
        <w:rPr>
          <w:b/>
          <w:bCs/>
          <w:color w:val="002060"/>
          <w:sz w:val="28"/>
          <w:szCs w:val="28"/>
        </w:rPr>
        <w:t>Catégories d’intervention</w:t>
      </w:r>
    </w:p>
    <w:p w14:paraId="0F95EB72" w14:textId="77777777" w:rsidR="00057E02" w:rsidRDefault="00057E02" w:rsidP="00057E02">
      <w:pPr>
        <w:pStyle w:val="Sansinterligne"/>
        <w:jc w:val="both"/>
      </w:pPr>
    </w:p>
    <w:tbl>
      <w:tblPr>
        <w:tblStyle w:val="Grilledutableau"/>
        <w:tblW w:w="10627" w:type="dxa"/>
        <w:tblLook w:val="04A0" w:firstRow="1" w:lastRow="0" w:firstColumn="1" w:lastColumn="0" w:noHBand="0" w:noVBand="1"/>
      </w:tblPr>
      <w:tblGrid>
        <w:gridCol w:w="3256"/>
        <w:gridCol w:w="7371"/>
      </w:tblGrid>
      <w:tr w:rsidR="00057E02" w14:paraId="61969E6F" w14:textId="77777777" w:rsidTr="00F65C73">
        <w:tc>
          <w:tcPr>
            <w:tcW w:w="3256" w:type="dxa"/>
            <w:vAlign w:val="center"/>
          </w:tcPr>
          <w:p w14:paraId="05762C51" w14:textId="77777777" w:rsidR="00057E02" w:rsidRPr="00D6168A" w:rsidRDefault="00057E02" w:rsidP="00F65C73">
            <w:pPr>
              <w:pStyle w:val="Sansinterligne"/>
              <w:rPr>
                <w:b/>
                <w:bCs/>
                <w:color w:val="002060"/>
                <w:sz w:val="20"/>
                <w:szCs w:val="20"/>
              </w:rPr>
            </w:pPr>
            <w:r w:rsidRPr="00D6168A">
              <w:rPr>
                <w:b/>
                <w:bCs/>
                <w:color w:val="002060"/>
                <w:sz w:val="20"/>
                <w:szCs w:val="20"/>
              </w:rPr>
              <w:t>Domaine d’intervention</w:t>
            </w:r>
          </w:p>
        </w:tc>
        <w:tc>
          <w:tcPr>
            <w:tcW w:w="7371" w:type="dxa"/>
            <w:vAlign w:val="center"/>
          </w:tcPr>
          <w:p w14:paraId="218EBFDF" w14:textId="77777777" w:rsidR="00057E02" w:rsidRDefault="00057E02" w:rsidP="00F65C73">
            <w:pPr>
              <w:pStyle w:val="Sansinterligne"/>
              <w:rPr>
                <w:sz w:val="20"/>
                <w:szCs w:val="20"/>
              </w:rPr>
            </w:pPr>
            <w:r>
              <w:rPr>
                <w:sz w:val="20"/>
                <w:szCs w:val="20"/>
              </w:rPr>
              <w:t xml:space="preserve">016 </w:t>
            </w:r>
            <w:r w:rsidRPr="00EC1ED8">
              <w:rPr>
                <w:sz w:val="20"/>
                <w:szCs w:val="20"/>
              </w:rPr>
              <w:t>Solutions TIC, services en ligne et applications pour l'administration</w:t>
            </w:r>
          </w:p>
          <w:p w14:paraId="7C639A6F" w14:textId="77777777" w:rsidR="00057E02" w:rsidRDefault="00057E02" w:rsidP="00F65C73">
            <w:pPr>
              <w:pStyle w:val="Sansinterligne"/>
              <w:rPr>
                <w:sz w:val="20"/>
                <w:szCs w:val="20"/>
              </w:rPr>
            </w:pPr>
            <w:r>
              <w:rPr>
                <w:sz w:val="20"/>
                <w:szCs w:val="20"/>
              </w:rPr>
              <w:t xml:space="preserve">018 </w:t>
            </w:r>
            <w:r w:rsidRPr="00C046E5">
              <w:rPr>
                <w:sz w:val="20"/>
                <w:szCs w:val="20"/>
              </w:rPr>
              <w:t>Services et applications informatiques pour les compétences numériques et l'inclusion numérique</w:t>
            </w:r>
          </w:p>
          <w:p w14:paraId="14289F05" w14:textId="77777777" w:rsidR="00057E02" w:rsidRDefault="00057E02" w:rsidP="00F65C73">
            <w:pPr>
              <w:pStyle w:val="Sansinterligne"/>
              <w:rPr>
                <w:sz w:val="20"/>
                <w:szCs w:val="20"/>
              </w:rPr>
            </w:pPr>
            <w:r>
              <w:rPr>
                <w:sz w:val="20"/>
                <w:szCs w:val="20"/>
              </w:rPr>
              <w:t xml:space="preserve">019 </w:t>
            </w:r>
            <w:r w:rsidRPr="00C046E5">
              <w:rPr>
                <w:sz w:val="20"/>
                <w:szCs w:val="20"/>
              </w:rPr>
              <w:t>Services et applications de santé en ligne (y compris les soins en ligne, l'internet des objets pour l'activité physique et l'assistance à l'autonomie à domicile)</w:t>
            </w:r>
          </w:p>
          <w:p w14:paraId="75693EAE" w14:textId="77777777" w:rsidR="00057E02" w:rsidRPr="00FD0AB3" w:rsidRDefault="00057E02" w:rsidP="00F65C73">
            <w:pPr>
              <w:pStyle w:val="Sansinterligne"/>
              <w:rPr>
                <w:sz w:val="20"/>
                <w:szCs w:val="20"/>
              </w:rPr>
            </w:pPr>
          </w:p>
        </w:tc>
      </w:tr>
      <w:tr w:rsidR="00057E02" w14:paraId="09DCDC0A" w14:textId="77777777" w:rsidTr="00F65C73">
        <w:tc>
          <w:tcPr>
            <w:tcW w:w="3256" w:type="dxa"/>
            <w:vAlign w:val="center"/>
          </w:tcPr>
          <w:p w14:paraId="6A48E0AA" w14:textId="77777777" w:rsidR="00057E02" w:rsidRPr="00D6168A" w:rsidRDefault="00057E02" w:rsidP="00F65C73">
            <w:pPr>
              <w:pStyle w:val="Sansinterligne"/>
              <w:rPr>
                <w:b/>
                <w:bCs/>
                <w:color w:val="002060"/>
                <w:sz w:val="20"/>
                <w:szCs w:val="20"/>
              </w:rPr>
            </w:pPr>
            <w:r w:rsidRPr="00D6168A">
              <w:rPr>
                <w:b/>
                <w:bCs/>
                <w:color w:val="002060"/>
                <w:sz w:val="20"/>
                <w:szCs w:val="20"/>
              </w:rPr>
              <w:t>Forme de financement</w:t>
            </w:r>
          </w:p>
        </w:tc>
        <w:tc>
          <w:tcPr>
            <w:tcW w:w="7371" w:type="dxa"/>
            <w:vAlign w:val="center"/>
          </w:tcPr>
          <w:p w14:paraId="08DFB985" w14:textId="77777777" w:rsidR="00057E02" w:rsidRPr="00FD0AB3" w:rsidRDefault="00057E02" w:rsidP="00F65C73">
            <w:pPr>
              <w:pStyle w:val="Sansinterligne"/>
              <w:rPr>
                <w:sz w:val="20"/>
                <w:szCs w:val="20"/>
              </w:rPr>
            </w:pPr>
            <w:r w:rsidRPr="00FD0AB3">
              <w:rPr>
                <w:sz w:val="20"/>
                <w:szCs w:val="20"/>
              </w:rPr>
              <w:t>01 Subvention</w:t>
            </w:r>
          </w:p>
        </w:tc>
      </w:tr>
      <w:tr w:rsidR="00057E02" w14:paraId="037AF3D6" w14:textId="77777777" w:rsidTr="00F65C73">
        <w:tc>
          <w:tcPr>
            <w:tcW w:w="3256" w:type="dxa"/>
            <w:vAlign w:val="center"/>
          </w:tcPr>
          <w:p w14:paraId="78F2325D" w14:textId="77777777" w:rsidR="00057E02" w:rsidRPr="00D6168A" w:rsidRDefault="00057E02" w:rsidP="00F65C73">
            <w:pPr>
              <w:pStyle w:val="Sansinterligne"/>
              <w:rPr>
                <w:b/>
                <w:bCs/>
                <w:color w:val="002060"/>
                <w:sz w:val="20"/>
                <w:szCs w:val="20"/>
              </w:rPr>
            </w:pPr>
            <w:r w:rsidRPr="00D6168A">
              <w:rPr>
                <w:b/>
                <w:bCs/>
                <w:color w:val="002060"/>
                <w:sz w:val="20"/>
                <w:szCs w:val="20"/>
              </w:rPr>
              <w:t>Mécanisme d’application territorial et approche territoriale</w:t>
            </w:r>
          </w:p>
        </w:tc>
        <w:tc>
          <w:tcPr>
            <w:tcW w:w="7371" w:type="dxa"/>
            <w:vAlign w:val="center"/>
          </w:tcPr>
          <w:p w14:paraId="7E83059A" w14:textId="77777777" w:rsidR="00057E02" w:rsidRPr="00FD0AB3" w:rsidRDefault="00057E02" w:rsidP="00F65C73">
            <w:pPr>
              <w:pStyle w:val="Sansinterligne"/>
              <w:rPr>
                <w:sz w:val="20"/>
                <w:szCs w:val="20"/>
              </w:rPr>
            </w:pPr>
            <w:r w:rsidRPr="00D6168A">
              <w:rPr>
                <w:sz w:val="20"/>
                <w:szCs w:val="20"/>
              </w:rPr>
              <w:t xml:space="preserve">33 Autres approches </w:t>
            </w:r>
            <w:r>
              <w:rPr>
                <w:sz w:val="20"/>
                <w:szCs w:val="20"/>
              </w:rPr>
              <w:t>-</w:t>
            </w:r>
            <w:r w:rsidRPr="00D6168A">
              <w:rPr>
                <w:sz w:val="20"/>
                <w:szCs w:val="20"/>
              </w:rPr>
              <w:t xml:space="preserve"> Pas de ciblage géographique</w:t>
            </w:r>
          </w:p>
        </w:tc>
      </w:tr>
      <w:tr w:rsidR="00057E02" w14:paraId="059F36FB" w14:textId="77777777" w:rsidTr="00F65C73">
        <w:tc>
          <w:tcPr>
            <w:tcW w:w="3256" w:type="dxa"/>
            <w:vAlign w:val="center"/>
          </w:tcPr>
          <w:p w14:paraId="1EE91B35" w14:textId="77777777" w:rsidR="00057E02" w:rsidRPr="00D6168A" w:rsidRDefault="00057E02" w:rsidP="00F65C73">
            <w:pPr>
              <w:pStyle w:val="Sansinterligne"/>
              <w:rPr>
                <w:b/>
                <w:bCs/>
                <w:color w:val="002060"/>
                <w:sz w:val="20"/>
                <w:szCs w:val="20"/>
              </w:rPr>
            </w:pPr>
            <w:r>
              <w:rPr>
                <w:b/>
                <w:bCs/>
                <w:color w:val="002060"/>
                <w:sz w:val="20"/>
                <w:szCs w:val="20"/>
              </w:rPr>
              <w:t>Egalité entre les hommes et les femmes</w:t>
            </w:r>
          </w:p>
        </w:tc>
        <w:tc>
          <w:tcPr>
            <w:tcW w:w="7371" w:type="dxa"/>
            <w:vAlign w:val="center"/>
          </w:tcPr>
          <w:p w14:paraId="6FC57826" w14:textId="77777777" w:rsidR="00057E02" w:rsidRPr="00D6168A" w:rsidRDefault="00057E02" w:rsidP="00F65C73">
            <w:pPr>
              <w:pStyle w:val="Sansinterligne"/>
              <w:rPr>
                <w:sz w:val="20"/>
                <w:szCs w:val="20"/>
              </w:rPr>
            </w:pPr>
            <w:r>
              <w:rPr>
                <w:sz w:val="20"/>
                <w:szCs w:val="20"/>
              </w:rPr>
              <w:t>03 Neutralité du point de vue de l’égalité entre les hommes et les femmes</w:t>
            </w:r>
          </w:p>
        </w:tc>
      </w:tr>
    </w:tbl>
    <w:p w14:paraId="480CE152" w14:textId="77777777" w:rsidR="00057E02" w:rsidRDefault="00057E02" w:rsidP="00057E02">
      <w:pPr>
        <w:pStyle w:val="Sansinterligne"/>
        <w:jc w:val="both"/>
        <w:rPr>
          <w:b/>
          <w:bCs/>
          <w:color w:val="FFFFFF" w:themeColor="background1"/>
          <w:sz w:val="28"/>
          <w:szCs w:val="28"/>
          <w:shd w:val="clear" w:color="auto" w:fill="00B0F0"/>
        </w:rPr>
      </w:pPr>
    </w:p>
    <w:p w14:paraId="312CF216" w14:textId="77777777" w:rsidR="00057E02" w:rsidRPr="002C70D5" w:rsidRDefault="00057E02" w:rsidP="00057E02">
      <w:pPr>
        <w:pStyle w:val="Sansinterligne"/>
        <w:shd w:val="clear" w:color="auto" w:fill="B7ECFF"/>
        <w:jc w:val="both"/>
        <w:rPr>
          <w:b/>
          <w:bCs/>
          <w:sz w:val="28"/>
          <w:szCs w:val="28"/>
        </w:rPr>
      </w:pPr>
      <w:r w:rsidRPr="00D6168A">
        <w:rPr>
          <w:b/>
          <w:bCs/>
          <w:color w:val="FFFFFF" w:themeColor="background1"/>
          <w:sz w:val="28"/>
          <w:szCs w:val="28"/>
          <w:shd w:val="clear" w:color="auto" w:fill="00B0F0"/>
        </w:rPr>
        <w:t xml:space="preserve">CONTACT </w:t>
      </w:r>
      <w:r>
        <w:rPr>
          <w:b/>
          <w:bCs/>
          <w:sz w:val="28"/>
          <w:szCs w:val="28"/>
        </w:rPr>
        <w:t xml:space="preserve">  </w:t>
      </w:r>
      <w:r>
        <w:rPr>
          <w:b/>
          <w:bCs/>
          <w:color w:val="002060"/>
          <w:sz w:val="28"/>
          <w:szCs w:val="28"/>
        </w:rPr>
        <w:t>Service(s) en charge de l’instruction des dossiers</w:t>
      </w:r>
    </w:p>
    <w:p w14:paraId="24501407" w14:textId="77777777" w:rsidR="00057E02" w:rsidRDefault="00057E02" w:rsidP="00057E02">
      <w:pPr>
        <w:pStyle w:val="Sansinterligne"/>
        <w:jc w:val="both"/>
      </w:pPr>
    </w:p>
    <w:p w14:paraId="2F1D28CF" w14:textId="77777777" w:rsidR="00057E02" w:rsidRDefault="00057E02" w:rsidP="00057E02">
      <w:pPr>
        <w:pStyle w:val="Sansinterligne"/>
        <w:jc w:val="both"/>
      </w:pPr>
      <w:r w:rsidRPr="00D6168A">
        <w:rPr>
          <w:b/>
          <w:bCs/>
          <w:color w:val="002060"/>
        </w:rPr>
        <w:t>Contact :</w:t>
      </w:r>
      <w:r>
        <w:t xml:space="preserve"> Conseil régional Centre-Val de Loire, Direction Europe et International, </w:t>
      </w:r>
      <w:r w:rsidRPr="00B0477C">
        <w:t>Service Programmation des Fonds européens FEDER FSE+</w:t>
      </w:r>
    </w:p>
    <w:p w14:paraId="0CB365FE" w14:textId="77777777" w:rsidR="00057E02" w:rsidRDefault="00057E02" w:rsidP="00057E02">
      <w:pPr>
        <w:pStyle w:val="Sansinterligne"/>
        <w:jc w:val="both"/>
      </w:pPr>
      <w:r>
        <w:rPr>
          <w:noProof/>
        </w:rPr>
        <w:drawing>
          <wp:inline distT="0" distB="0" distL="0" distR="0" wp14:anchorId="7B1DA9F5" wp14:editId="3C0E0833">
            <wp:extent cx="204826" cy="204826"/>
            <wp:effectExtent l="0" t="0" r="5080" b="5080"/>
            <wp:docPr id="784945679" name="Graphique 784945679"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4826" cy="204826"/>
                    </a:xfrm>
                    <a:prstGeom prst="rect">
                      <a:avLst/>
                    </a:prstGeom>
                  </pic:spPr>
                </pic:pic>
              </a:graphicData>
            </a:graphic>
          </wp:inline>
        </w:drawing>
      </w:r>
      <w:r>
        <w:t xml:space="preserve"> : </w:t>
      </w:r>
      <w:hyperlink r:id="rId14" w:history="1">
        <w:r w:rsidRPr="00E4771E">
          <w:rPr>
            <w:rStyle w:val="Lienhypertexte"/>
          </w:rPr>
          <w:t>ext-europe@centrevaldeloire.fr</w:t>
        </w:r>
      </w:hyperlink>
    </w:p>
    <w:p w14:paraId="3567E452" w14:textId="15794356" w:rsidR="006347A3" w:rsidRPr="009325D3" w:rsidRDefault="006347A3" w:rsidP="00057E02">
      <w:pPr>
        <w:pStyle w:val="Sansinterligne"/>
        <w:jc w:val="both"/>
        <w:rPr>
          <w:rFonts w:ascii="Calibri" w:hAnsi="Calibri" w:cs="Calibri"/>
        </w:rPr>
      </w:pPr>
    </w:p>
    <w:sectPr w:rsidR="006347A3" w:rsidRPr="009325D3" w:rsidSect="000E1C19">
      <w:pgSz w:w="11906" w:h="16838"/>
      <w:pgMar w:top="56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074"/>
    <w:multiLevelType w:val="hybridMultilevel"/>
    <w:tmpl w:val="BD62D0B2"/>
    <w:lvl w:ilvl="0" w:tplc="BD420C8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A10DAD"/>
    <w:multiLevelType w:val="hybridMultilevel"/>
    <w:tmpl w:val="CCC65E0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C5BA2"/>
    <w:multiLevelType w:val="hybridMultilevel"/>
    <w:tmpl w:val="45AC4C3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A307984"/>
    <w:multiLevelType w:val="hybridMultilevel"/>
    <w:tmpl w:val="F03AA54A"/>
    <w:lvl w:ilvl="0" w:tplc="C3ECB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B178F"/>
    <w:multiLevelType w:val="hybridMultilevel"/>
    <w:tmpl w:val="DBA4DA24"/>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F94368"/>
    <w:multiLevelType w:val="hybridMultilevel"/>
    <w:tmpl w:val="6F987CF4"/>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73CCA"/>
    <w:multiLevelType w:val="hybridMultilevel"/>
    <w:tmpl w:val="A03A7D6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FA2CEF"/>
    <w:multiLevelType w:val="hybridMultilevel"/>
    <w:tmpl w:val="00C8516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63762D"/>
    <w:multiLevelType w:val="hybridMultilevel"/>
    <w:tmpl w:val="E3FE3846"/>
    <w:lvl w:ilvl="0" w:tplc="BD420C8E">
      <w:start w:val="1"/>
      <w:numFmt w:val="bullet"/>
      <w:lvlText w:val="-"/>
      <w:lvlJc w:val="left"/>
      <w:pPr>
        <w:ind w:left="720" w:hanging="360"/>
      </w:pPr>
      <w:rPr>
        <w:rFonts w:ascii="Calibri" w:hAnsi="Calibri" w:hint="default"/>
        <w:b/>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80407C"/>
    <w:multiLevelType w:val="hybridMultilevel"/>
    <w:tmpl w:val="3A44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850BAE"/>
    <w:multiLevelType w:val="hybridMultilevel"/>
    <w:tmpl w:val="821AC78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42694E"/>
    <w:multiLevelType w:val="hybridMultilevel"/>
    <w:tmpl w:val="660C5D60"/>
    <w:lvl w:ilvl="0" w:tplc="7EF267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330F72"/>
    <w:multiLevelType w:val="hybridMultilevel"/>
    <w:tmpl w:val="7D56E9B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884C17"/>
    <w:multiLevelType w:val="hybridMultilevel"/>
    <w:tmpl w:val="90D0FD5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F2389C"/>
    <w:multiLevelType w:val="hybridMultilevel"/>
    <w:tmpl w:val="EC6EE32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834557"/>
    <w:multiLevelType w:val="hybridMultilevel"/>
    <w:tmpl w:val="C584D3F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602F43"/>
    <w:multiLevelType w:val="hybridMultilevel"/>
    <w:tmpl w:val="CAF6C69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4D4709"/>
    <w:multiLevelType w:val="hybridMultilevel"/>
    <w:tmpl w:val="E78095E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036D7E"/>
    <w:multiLevelType w:val="hybridMultilevel"/>
    <w:tmpl w:val="AF62B8D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2653EC"/>
    <w:multiLevelType w:val="hybridMultilevel"/>
    <w:tmpl w:val="B2804E8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963DAD"/>
    <w:multiLevelType w:val="hybridMultilevel"/>
    <w:tmpl w:val="BD24C21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E20341"/>
    <w:multiLevelType w:val="hybridMultilevel"/>
    <w:tmpl w:val="82381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DCF7095"/>
    <w:multiLevelType w:val="hybridMultilevel"/>
    <w:tmpl w:val="904423D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E10E8E"/>
    <w:multiLevelType w:val="hybridMultilevel"/>
    <w:tmpl w:val="2E607E2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2D6D10"/>
    <w:multiLevelType w:val="hybridMultilevel"/>
    <w:tmpl w:val="01AC71FA"/>
    <w:lvl w:ilvl="0" w:tplc="506CC8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440539">
    <w:abstractNumId w:val="19"/>
  </w:num>
  <w:num w:numId="2" w16cid:durableId="470900259">
    <w:abstractNumId w:val="11"/>
  </w:num>
  <w:num w:numId="3" w16cid:durableId="1325063">
    <w:abstractNumId w:val="3"/>
  </w:num>
  <w:num w:numId="4" w16cid:durableId="923609914">
    <w:abstractNumId w:val="25"/>
  </w:num>
  <w:num w:numId="5" w16cid:durableId="502280285">
    <w:abstractNumId w:val="23"/>
  </w:num>
  <w:num w:numId="6" w16cid:durableId="937102216">
    <w:abstractNumId w:val="6"/>
  </w:num>
  <w:num w:numId="7" w16cid:durableId="1907184097">
    <w:abstractNumId w:val="10"/>
  </w:num>
  <w:num w:numId="8" w16cid:durableId="1470631414">
    <w:abstractNumId w:val="5"/>
  </w:num>
  <w:num w:numId="9" w16cid:durableId="1639259160">
    <w:abstractNumId w:val="18"/>
  </w:num>
  <w:num w:numId="10" w16cid:durableId="205872937">
    <w:abstractNumId w:val="16"/>
  </w:num>
  <w:num w:numId="11" w16cid:durableId="1100560828">
    <w:abstractNumId w:val="21"/>
  </w:num>
  <w:num w:numId="12" w16cid:durableId="1430613564">
    <w:abstractNumId w:val="14"/>
  </w:num>
  <w:num w:numId="13" w16cid:durableId="872109775">
    <w:abstractNumId w:val="13"/>
  </w:num>
  <w:num w:numId="14" w16cid:durableId="2035227521">
    <w:abstractNumId w:val="0"/>
  </w:num>
  <w:num w:numId="15" w16cid:durableId="1932204418">
    <w:abstractNumId w:val="24"/>
  </w:num>
  <w:num w:numId="16" w16cid:durableId="21828161">
    <w:abstractNumId w:val="20"/>
  </w:num>
  <w:num w:numId="17" w16cid:durableId="1848665208">
    <w:abstractNumId w:val="1"/>
  </w:num>
  <w:num w:numId="18" w16cid:durableId="1804731647">
    <w:abstractNumId w:val="22"/>
  </w:num>
  <w:num w:numId="19" w16cid:durableId="1675448731">
    <w:abstractNumId w:val="8"/>
  </w:num>
  <w:num w:numId="20" w16cid:durableId="1482964031">
    <w:abstractNumId w:val="4"/>
  </w:num>
  <w:num w:numId="21" w16cid:durableId="2079086008">
    <w:abstractNumId w:val="15"/>
  </w:num>
  <w:num w:numId="22" w16cid:durableId="672683363">
    <w:abstractNumId w:val="7"/>
  </w:num>
  <w:num w:numId="23" w16cid:durableId="793862699">
    <w:abstractNumId w:val="17"/>
  </w:num>
  <w:num w:numId="24" w16cid:durableId="741290936">
    <w:abstractNumId w:val="2"/>
  </w:num>
  <w:num w:numId="25" w16cid:durableId="349717777">
    <w:abstractNumId w:val="12"/>
  </w:num>
  <w:num w:numId="26" w16cid:durableId="14938356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57E02"/>
    <w:rsid w:val="000B7A33"/>
    <w:rsid w:val="000E1C19"/>
    <w:rsid w:val="00144BCF"/>
    <w:rsid w:val="00160CDD"/>
    <w:rsid w:val="002C6E21"/>
    <w:rsid w:val="003004C5"/>
    <w:rsid w:val="005B76C9"/>
    <w:rsid w:val="005F410E"/>
    <w:rsid w:val="006347A3"/>
    <w:rsid w:val="007F4EF4"/>
    <w:rsid w:val="009537CB"/>
    <w:rsid w:val="00A84082"/>
    <w:rsid w:val="00AE38D5"/>
    <w:rsid w:val="00B87CF4"/>
    <w:rsid w:val="00C16113"/>
    <w:rsid w:val="00D34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character" w:customStyle="1" w:styleId="profil-department">
    <w:name w:val="profil-department"/>
    <w:basedOn w:val="Policepardfaut"/>
    <w:rsid w:val="0005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mailto:ext-europe@centrevalde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1" ma:contentTypeDescription="Crée un document." ma:contentTypeScope="" ma:versionID="80e1fa0a36711d046a75f7be95b9a315">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0c0a25a4c85d5f4bded254b7e0bba312"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CCEB3-3EA9-49D0-9707-8AA4A9D12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E25E6-3292-48E5-BB36-092307AEEB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556FDF-563B-43B7-ACA0-828267A59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11244</Characters>
  <Application>Microsoft Office Word</Application>
  <DocSecurity>0</DocSecurity>
  <Lines>93</Lines>
  <Paragraphs>26</Paragraphs>
  <ScaleCrop>false</ScaleCrop>
  <Company>CRCVDL</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2</cp:revision>
  <dcterms:created xsi:type="dcterms:W3CDTF">2024-06-10T12:31:00Z</dcterms:created>
  <dcterms:modified xsi:type="dcterms:W3CDTF">2024-06-10T12:31:00Z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