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0DD69D42" w:rsidR="000E1C19" w:rsidRPr="006C22DB" w:rsidRDefault="000E1C19" w:rsidP="000E1C19">
                            <w:pPr>
                              <w:pStyle w:val="Sansinterligne"/>
                              <w:jc w:val="center"/>
                              <w:rPr>
                                <w:b/>
                                <w:bCs/>
                              </w:rPr>
                            </w:pPr>
                            <w:r w:rsidRPr="006C22DB">
                              <w:rPr>
                                <w:b/>
                                <w:bCs/>
                              </w:rPr>
                              <w:t>1.</w:t>
                            </w:r>
                            <w:r w:rsidR="00B801F8">
                              <w:rPr>
                                <w:b/>
                                <w:b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0DD69D42" w:rsidR="000E1C19" w:rsidRPr="006C22DB" w:rsidRDefault="000E1C19" w:rsidP="000E1C19">
                      <w:pPr>
                        <w:pStyle w:val="Sansinterligne"/>
                        <w:jc w:val="center"/>
                        <w:rPr>
                          <w:b/>
                          <w:bCs/>
                        </w:rPr>
                      </w:pPr>
                      <w:r w:rsidRPr="006C22DB">
                        <w:rPr>
                          <w:b/>
                          <w:bCs/>
                        </w:rPr>
                        <w:t>1.</w:t>
                      </w:r>
                      <w:r w:rsidR="00B801F8">
                        <w:rPr>
                          <w:b/>
                          <w:bCs/>
                        </w:rPr>
                        <w:t>4</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121EE84A" w:rsidR="000E1C19" w:rsidRDefault="000E1C19" w:rsidP="000E1C19">
      <w:pPr>
        <w:rPr>
          <w:rFonts w:ascii="Calibri" w:hAnsi="Calibri" w:cs="Calibri"/>
        </w:rPr>
      </w:pPr>
    </w:p>
    <w:p w14:paraId="61CB4EDE" w14:textId="77777777" w:rsidR="009D41D0" w:rsidRDefault="009D41D0" w:rsidP="000E1C19">
      <w:pPr>
        <w:rPr>
          <w:rFonts w:ascii="Calibri" w:hAnsi="Calibri" w:cs="Calibri"/>
        </w:rPr>
      </w:pPr>
    </w:p>
    <w:p w14:paraId="1B315D15" w14:textId="77777777" w:rsidR="009D41D0" w:rsidRPr="009325D3" w:rsidRDefault="009D41D0" w:rsidP="009D41D0">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9D41D0" w:rsidRPr="009325D3" w14:paraId="66A15CA3"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4FCCABFF" w14:textId="77777777" w:rsidR="009D41D0" w:rsidRPr="009325D3" w:rsidRDefault="009D41D0" w:rsidP="000B288C">
            <w:pPr>
              <w:pStyle w:val="Titre"/>
              <w:outlineLvl w:val="2"/>
              <w:rPr>
                <w:rFonts w:cs="Calibri"/>
              </w:rPr>
            </w:pPr>
            <w:bookmarkStart w:id="0" w:name="_Toc116053863"/>
            <w:r w:rsidRPr="009325D3">
              <w:rPr>
                <w:rFonts w:cs="Calibri"/>
              </w:rPr>
              <w:t>Action n°12</w:t>
            </w:r>
            <w:bookmarkEnd w:id="0"/>
          </w:p>
          <w:p w14:paraId="79EF2668" w14:textId="77777777" w:rsidR="009D41D0" w:rsidRPr="009325D3" w:rsidRDefault="009D41D0" w:rsidP="000B288C">
            <w:pPr>
              <w:pStyle w:val="Titre"/>
              <w:outlineLvl w:val="2"/>
              <w:rPr>
                <w:rFonts w:cs="Calibri"/>
              </w:rPr>
            </w:pPr>
            <w:bookmarkStart w:id="1" w:name="_Toc116053864"/>
            <w:r w:rsidRPr="009325D3">
              <w:rPr>
                <w:rFonts w:cs="Calibri"/>
              </w:rPr>
              <w:t>Accompagner la transition industrielle par le développement des compétences et l’esprit d’entreprise</w:t>
            </w:r>
            <w:bookmarkEnd w:id="1"/>
          </w:p>
        </w:tc>
      </w:tr>
      <w:tr w:rsidR="009D41D0" w:rsidRPr="009325D3" w14:paraId="26F5CFD7"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576BD8F7" w14:textId="77777777" w:rsidR="009D41D0" w:rsidRPr="009325D3" w:rsidRDefault="009D41D0"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5F6F7051" w14:textId="77777777" w:rsidR="009D41D0" w:rsidRPr="009325D3" w:rsidRDefault="009D41D0"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5134C58A" w14:textId="77777777" w:rsidR="009D41D0" w:rsidRPr="009325D3" w:rsidRDefault="009D41D0"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708B3179" w14:textId="77777777" w:rsidR="009D41D0" w:rsidRPr="009325D3" w:rsidRDefault="009D41D0"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3F333FB3" w14:textId="77777777" w:rsidR="009D41D0" w:rsidRPr="009325D3" w:rsidRDefault="009D41D0" w:rsidP="009D41D0">
      <w:pPr>
        <w:pStyle w:val="Sansinterligne"/>
        <w:jc w:val="both"/>
        <w:rPr>
          <w:rFonts w:ascii="Calibri" w:hAnsi="Calibri" w:cs="Calibri"/>
        </w:rPr>
      </w:pPr>
    </w:p>
    <w:p w14:paraId="2C1F92A4" w14:textId="77777777" w:rsidR="009D41D0" w:rsidRPr="009325D3" w:rsidRDefault="009D41D0" w:rsidP="009D41D0">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52496489" w14:textId="77777777" w:rsidR="009D41D0" w:rsidRPr="009325D3" w:rsidRDefault="009D41D0" w:rsidP="009D41D0">
      <w:pPr>
        <w:pStyle w:val="Sansinterligne"/>
        <w:jc w:val="both"/>
        <w:rPr>
          <w:rFonts w:ascii="Calibri" w:hAnsi="Calibri" w:cs="Calibri"/>
        </w:rPr>
      </w:pPr>
    </w:p>
    <w:p w14:paraId="64A2B622" w14:textId="77777777" w:rsidR="009D41D0" w:rsidRPr="009325D3" w:rsidRDefault="009D41D0" w:rsidP="009D41D0">
      <w:pPr>
        <w:pStyle w:val="Sansinterligne"/>
        <w:jc w:val="both"/>
        <w:rPr>
          <w:rFonts w:ascii="Calibri" w:hAnsi="Calibri" w:cs="Calibri"/>
          <w:b/>
          <w:bCs/>
          <w:color w:val="002060"/>
        </w:rPr>
      </w:pPr>
      <w:r w:rsidRPr="009325D3">
        <w:rPr>
          <w:rFonts w:ascii="Calibri" w:hAnsi="Calibri" w:cs="Calibri"/>
          <w:b/>
          <w:bCs/>
          <w:color w:val="002060"/>
        </w:rPr>
        <w:t>Structuration de la fonction RDI dans les entreprises :</w:t>
      </w:r>
    </w:p>
    <w:p w14:paraId="51321270" w14:textId="77777777" w:rsidR="009D41D0" w:rsidRPr="009325D3" w:rsidRDefault="009D41D0" w:rsidP="009D41D0">
      <w:pPr>
        <w:pStyle w:val="Sansinterligne"/>
        <w:jc w:val="both"/>
        <w:rPr>
          <w:rFonts w:ascii="Calibri" w:hAnsi="Calibri" w:cs="Calibri"/>
        </w:rPr>
      </w:pPr>
      <w:r w:rsidRPr="009325D3">
        <w:rPr>
          <w:rFonts w:ascii="Calibri" w:hAnsi="Calibri" w:cs="Calibri"/>
        </w:rPr>
        <w:t>La montée en puissance en matière de compétences des entreprises dans l’innovation et l’entrepreneuriat, la R&amp;D, permettra d’enclencher ou accélérer les projets d’innovation structurants pour le développement des entreprises en s’appuyant sur le capital humain endogène (montée en compétence des salariés) ou sur le recrutement de compétences externes. Cette action fait également partie d’une sous-mesure horizontale de la SRI-SI 2021-2027 dédiée au renforcement du capital humain.</w:t>
      </w:r>
    </w:p>
    <w:p w14:paraId="08FA3599" w14:textId="77777777" w:rsidR="009D41D0" w:rsidRPr="009325D3" w:rsidRDefault="009D41D0" w:rsidP="009D41D0">
      <w:pPr>
        <w:pStyle w:val="Sansinterligne"/>
        <w:jc w:val="both"/>
        <w:rPr>
          <w:rFonts w:ascii="Calibri" w:hAnsi="Calibri" w:cs="Calibri"/>
        </w:rPr>
      </w:pPr>
    </w:p>
    <w:p w14:paraId="01E6D912" w14:textId="77777777" w:rsidR="009D41D0" w:rsidRPr="009325D3" w:rsidRDefault="009D41D0" w:rsidP="009D41D0">
      <w:pPr>
        <w:pStyle w:val="Sansinterligne"/>
        <w:jc w:val="both"/>
        <w:rPr>
          <w:rFonts w:ascii="Calibri" w:hAnsi="Calibri" w:cs="Calibri"/>
          <w:b/>
          <w:bCs/>
          <w:color w:val="002060"/>
        </w:rPr>
      </w:pPr>
      <w:r w:rsidRPr="009325D3">
        <w:rPr>
          <w:rFonts w:ascii="Calibri" w:hAnsi="Calibri" w:cs="Calibri"/>
          <w:b/>
          <w:bCs/>
          <w:color w:val="002060"/>
        </w:rPr>
        <w:t xml:space="preserve">Renforcement du capital humain, notamment de haut niveau : </w:t>
      </w:r>
    </w:p>
    <w:p w14:paraId="10223AA5" w14:textId="77777777" w:rsidR="009D41D0" w:rsidRPr="009325D3" w:rsidRDefault="009D41D0" w:rsidP="009D41D0">
      <w:pPr>
        <w:pStyle w:val="Sansinterligne"/>
        <w:jc w:val="both"/>
        <w:rPr>
          <w:rFonts w:ascii="Calibri" w:hAnsi="Calibri" w:cs="Calibri"/>
        </w:rPr>
      </w:pPr>
      <w:r w:rsidRPr="009325D3">
        <w:rPr>
          <w:rFonts w:ascii="Calibri" w:hAnsi="Calibri" w:cs="Calibri"/>
        </w:rPr>
        <w:t xml:space="preserve">Attirer et retenir sur les compétences dont les entreprises ont besoin pour se développer ou maintenir leur compétitivité est crucial pour préparer l’avenir. Avec le soutien du FEDER, le projet vise à répondre aux principaux objectifs suivants : </w:t>
      </w:r>
    </w:p>
    <w:p w14:paraId="0C307AC7" w14:textId="77777777" w:rsidR="009D41D0" w:rsidRPr="009325D3" w:rsidRDefault="009D41D0" w:rsidP="009D41D0">
      <w:pPr>
        <w:pStyle w:val="Sansinterligne"/>
        <w:numPr>
          <w:ilvl w:val="0"/>
          <w:numId w:val="41"/>
        </w:numPr>
        <w:jc w:val="both"/>
        <w:rPr>
          <w:rFonts w:ascii="Calibri" w:hAnsi="Calibri" w:cs="Calibri"/>
        </w:rPr>
      </w:pPr>
      <w:r w:rsidRPr="009325D3">
        <w:rPr>
          <w:rFonts w:ascii="Calibri" w:hAnsi="Calibri" w:cs="Calibri"/>
        </w:rPr>
        <w:t>Accompagner directement les PME pour la conception de stratégies de ressources humaines et assistance opérationnelle pour la recherche de candidats de recrutement appropriés,</w:t>
      </w:r>
    </w:p>
    <w:p w14:paraId="3AE2DC91" w14:textId="77777777" w:rsidR="009D41D0" w:rsidRPr="009325D3" w:rsidRDefault="009D41D0" w:rsidP="009D41D0">
      <w:pPr>
        <w:pStyle w:val="Sansinterligne"/>
        <w:numPr>
          <w:ilvl w:val="0"/>
          <w:numId w:val="41"/>
        </w:numPr>
        <w:jc w:val="both"/>
        <w:rPr>
          <w:rFonts w:ascii="Calibri" w:hAnsi="Calibri" w:cs="Calibri"/>
        </w:rPr>
      </w:pPr>
      <w:r w:rsidRPr="009325D3">
        <w:rPr>
          <w:rFonts w:ascii="Calibri" w:hAnsi="Calibri" w:cs="Calibri"/>
        </w:rPr>
        <w:t>Capitaliser sur les opportunités de développement des entreprises grâce à un recrutement ciblé,</w:t>
      </w:r>
    </w:p>
    <w:p w14:paraId="2C3469F7" w14:textId="77777777" w:rsidR="009D41D0" w:rsidRPr="009325D3" w:rsidRDefault="009D41D0" w:rsidP="009D41D0">
      <w:pPr>
        <w:pStyle w:val="Sansinterligne"/>
        <w:numPr>
          <w:ilvl w:val="0"/>
          <w:numId w:val="41"/>
        </w:numPr>
        <w:jc w:val="both"/>
        <w:rPr>
          <w:rFonts w:ascii="Calibri" w:hAnsi="Calibri" w:cs="Calibri"/>
        </w:rPr>
      </w:pPr>
      <w:r w:rsidRPr="009325D3">
        <w:rPr>
          <w:rFonts w:ascii="Calibri" w:hAnsi="Calibri" w:cs="Calibri"/>
        </w:rPr>
        <w:t xml:space="preserve">Faciliter l'adoption des technologies numériques via le recrutement pour aider les entreprises à se développer et à faire face aux défis de la transition industrielle et numérique, </w:t>
      </w:r>
    </w:p>
    <w:p w14:paraId="71D1E08D" w14:textId="77777777" w:rsidR="009D41D0" w:rsidRPr="009325D3" w:rsidRDefault="009D41D0" w:rsidP="009D41D0">
      <w:pPr>
        <w:pStyle w:val="Sansinterligne"/>
        <w:numPr>
          <w:ilvl w:val="0"/>
          <w:numId w:val="41"/>
        </w:numPr>
        <w:jc w:val="both"/>
        <w:rPr>
          <w:rFonts w:ascii="Calibri" w:hAnsi="Calibri" w:cs="Calibri"/>
        </w:rPr>
      </w:pPr>
      <w:r w:rsidRPr="009325D3">
        <w:rPr>
          <w:rFonts w:ascii="Calibri" w:hAnsi="Calibri" w:cs="Calibri"/>
        </w:rPr>
        <w:t>Améliorer les compétences en ressources humaines au sein des TPE/PME industrielles afin de fidéliser le personnel et lui permettre de s’adapter aux évolutions des compétences nécessaires,</w:t>
      </w:r>
    </w:p>
    <w:p w14:paraId="1BA0676D" w14:textId="77777777" w:rsidR="009D41D0" w:rsidRPr="009325D3" w:rsidRDefault="009D41D0" w:rsidP="009D41D0">
      <w:pPr>
        <w:pStyle w:val="Sansinterligne"/>
        <w:numPr>
          <w:ilvl w:val="0"/>
          <w:numId w:val="41"/>
        </w:numPr>
        <w:jc w:val="both"/>
        <w:rPr>
          <w:rFonts w:ascii="Calibri" w:hAnsi="Calibri" w:cs="Calibri"/>
        </w:rPr>
      </w:pPr>
      <w:r w:rsidRPr="009325D3">
        <w:rPr>
          <w:rFonts w:ascii="Calibri" w:hAnsi="Calibri" w:cs="Calibri"/>
        </w:rPr>
        <w:t>Améliorer l'anticipation des processus de recrutement,</w:t>
      </w:r>
    </w:p>
    <w:p w14:paraId="73AC9125" w14:textId="77777777" w:rsidR="009D41D0" w:rsidRPr="009325D3" w:rsidRDefault="009D41D0" w:rsidP="009D41D0">
      <w:pPr>
        <w:pStyle w:val="Sansinterligne"/>
        <w:numPr>
          <w:ilvl w:val="0"/>
          <w:numId w:val="41"/>
        </w:numPr>
        <w:jc w:val="both"/>
        <w:rPr>
          <w:rFonts w:ascii="Calibri" w:hAnsi="Calibri" w:cs="Calibri"/>
        </w:rPr>
      </w:pPr>
      <w:r w:rsidRPr="009325D3">
        <w:rPr>
          <w:rFonts w:ascii="Calibri" w:hAnsi="Calibri" w:cs="Calibri"/>
        </w:rPr>
        <w:t>Travailler aux côtés des dirigeants / des responsables aura également un impact sur la culture et les compétences de l'équipe RH / affaires,</w:t>
      </w:r>
    </w:p>
    <w:p w14:paraId="3E491C65" w14:textId="77777777" w:rsidR="009D41D0" w:rsidRPr="009325D3" w:rsidRDefault="009D41D0" w:rsidP="009D41D0">
      <w:pPr>
        <w:pStyle w:val="Sansinterligne"/>
        <w:numPr>
          <w:ilvl w:val="0"/>
          <w:numId w:val="41"/>
        </w:numPr>
        <w:jc w:val="both"/>
        <w:rPr>
          <w:rFonts w:ascii="Calibri" w:hAnsi="Calibri" w:cs="Calibri"/>
        </w:rPr>
      </w:pPr>
      <w:r w:rsidRPr="009325D3">
        <w:rPr>
          <w:rFonts w:ascii="Calibri" w:hAnsi="Calibri" w:cs="Calibri"/>
        </w:rPr>
        <w:t>Développer des mesures d'attractivité régionale pour renforcer l'attraction de talents / candidats, notamment de haut niveau dans la Région et pallier la proximité de Paris Ile de France (lutte contre la fuite des cerveaux),</w:t>
      </w:r>
    </w:p>
    <w:p w14:paraId="15D33486" w14:textId="77777777" w:rsidR="009D41D0" w:rsidRPr="009325D3" w:rsidRDefault="009D41D0" w:rsidP="009D41D0">
      <w:pPr>
        <w:pStyle w:val="Sansinterligne"/>
        <w:numPr>
          <w:ilvl w:val="0"/>
          <w:numId w:val="41"/>
        </w:numPr>
        <w:jc w:val="both"/>
        <w:rPr>
          <w:rFonts w:ascii="Calibri" w:hAnsi="Calibri" w:cs="Calibri"/>
        </w:rPr>
      </w:pPr>
      <w:r w:rsidRPr="009325D3">
        <w:rPr>
          <w:rFonts w:ascii="Calibri" w:hAnsi="Calibri" w:cs="Calibri"/>
        </w:rPr>
        <w:t>Fournir les outils nécessaires pour aider les PME situées dans des agglomérations plus petites / éloignées des centres urbains à attirer et à retenir les talents.</w:t>
      </w:r>
    </w:p>
    <w:p w14:paraId="2F05F62A" w14:textId="02FC8D7B" w:rsidR="009D41D0" w:rsidRPr="009D41D0" w:rsidRDefault="009D41D0" w:rsidP="009D41D0">
      <w:pPr>
        <w:pStyle w:val="Paragraphedeliste"/>
        <w:numPr>
          <w:ilvl w:val="0"/>
          <w:numId w:val="41"/>
        </w:numPr>
        <w:spacing w:after="160" w:line="259" w:lineRule="auto"/>
        <w:jc w:val="left"/>
        <w:rPr>
          <w:rFonts w:ascii="Calibri" w:hAnsi="Calibri" w:cs="Calibri"/>
        </w:rPr>
      </w:pPr>
      <w:r w:rsidRPr="009325D3">
        <w:rPr>
          <w:rFonts w:ascii="Calibri" w:hAnsi="Calibri" w:cs="Calibri"/>
        </w:rPr>
        <w:t>Accueillir des chercheurs étrangers de haut niveau, qui apporteront sur le territoire des compétences nouvelles au bénéfice des laboratoires et des entreprises innovantes.</w:t>
      </w:r>
    </w:p>
    <w:p w14:paraId="12C166B4" w14:textId="77777777" w:rsidR="009D41D0" w:rsidRPr="009325D3" w:rsidRDefault="009D41D0" w:rsidP="009D41D0">
      <w:pPr>
        <w:pStyle w:val="Sansinterligne"/>
        <w:jc w:val="both"/>
        <w:rPr>
          <w:rFonts w:ascii="Calibri" w:hAnsi="Calibri" w:cs="Calibri"/>
          <w:b/>
          <w:bCs/>
          <w:color w:val="002060"/>
        </w:rPr>
      </w:pPr>
      <w:r w:rsidRPr="009325D3">
        <w:rPr>
          <w:rFonts w:ascii="Calibri" w:hAnsi="Calibri" w:cs="Calibri"/>
          <w:b/>
          <w:bCs/>
          <w:color w:val="002060"/>
        </w:rPr>
        <w:t xml:space="preserve">Encouragement de la dynamique de réseau pour renforcer le capital humain : </w:t>
      </w:r>
    </w:p>
    <w:p w14:paraId="208DB8C5" w14:textId="77777777" w:rsidR="009D41D0" w:rsidRPr="009325D3" w:rsidRDefault="009D41D0" w:rsidP="009D41D0">
      <w:pPr>
        <w:pStyle w:val="Sansinterligne"/>
        <w:jc w:val="both"/>
        <w:rPr>
          <w:rFonts w:ascii="Calibri" w:hAnsi="Calibri" w:cs="Calibri"/>
        </w:rPr>
      </w:pPr>
      <w:r w:rsidRPr="009325D3">
        <w:rPr>
          <w:rFonts w:ascii="Calibri" w:hAnsi="Calibri" w:cs="Calibri"/>
        </w:rPr>
        <w:t xml:space="preserve">L’accroissement des programmes d’actions </w:t>
      </w:r>
      <w:r>
        <w:rPr>
          <w:rFonts w:ascii="Calibri" w:hAnsi="Calibri" w:cs="Calibri"/>
        </w:rPr>
        <w:t>des</w:t>
      </w:r>
      <w:r w:rsidRPr="009325D3">
        <w:rPr>
          <w:rFonts w:ascii="Calibri" w:hAnsi="Calibri" w:cs="Calibri"/>
        </w:rPr>
        <w:t xml:space="preserve"> clusters dans le domaine Ressources Humaines doit permettre à ces structures ou autres animateurs de filières de proposer une approche mutualisée d’élévation des compétences en prenant en compte les spécificités sectorielles présentes ou émergentes en région. Il s’agit de mieux adapter les cursus de la formation initiale et de la formation continue aux besoins des entreprises, mais également de développer le volet innovation, et compétence associées (marketing, propriété intellectuelle, design, …) dans les démarches de GPEC. </w:t>
      </w:r>
    </w:p>
    <w:p w14:paraId="77F62BF0" w14:textId="77777777" w:rsidR="009D41D0" w:rsidRPr="009325D3" w:rsidRDefault="009D41D0" w:rsidP="009D41D0">
      <w:pPr>
        <w:pStyle w:val="Sansinterligne"/>
        <w:jc w:val="both"/>
        <w:rPr>
          <w:rFonts w:ascii="Calibri" w:hAnsi="Calibri" w:cs="Calibri"/>
        </w:rPr>
      </w:pPr>
    </w:p>
    <w:p w14:paraId="3A00963E" w14:textId="77777777" w:rsidR="009D41D0" w:rsidRPr="009325D3" w:rsidRDefault="009D41D0" w:rsidP="009D41D0">
      <w:pPr>
        <w:pStyle w:val="Sansinterligne"/>
        <w:jc w:val="both"/>
        <w:rPr>
          <w:rFonts w:ascii="Calibri" w:hAnsi="Calibri" w:cs="Calibri"/>
        </w:rPr>
      </w:pPr>
      <w:r w:rsidRPr="009325D3">
        <w:rPr>
          <w:rFonts w:ascii="Calibri" w:hAnsi="Calibri" w:cs="Calibri"/>
        </w:rPr>
        <w:t>Le partage des compétences via des structures de portage ad hoc permet de soutenir et accélérer l’investissement RH des entreprises. Enfin, le soutien à des opérations collectives liées à l’attractivité portées par les filières régionales vise à anticiper des problématiques de recrutement ou de fidélisation des compétences dans les secteurs en tension.</w:t>
      </w:r>
    </w:p>
    <w:p w14:paraId="43908C55" w14:textId="77777777" w:rsidR="009D41D0" w:rsidRPr="009325D3" w:rsidRDefault="009D41D0" w:rsidP="009D41D0">
      <w:pPr>
        <w:pStyle w:val="Sansinterligne"/>
        <w:jc w:val="both"/>
        <w:rPr>
          <w:rFonts w:ascii="Calibri" w:hAnsi="Calibri" w:cs="Calibri"/>
        </w:rPr>
      </w:pPr>
      <w:r w:rsidRPr="009325D3">
        <w:rPr>
          <w:rFonts w:ascii="Calibri" w:hAnsi="Calibri" w:cs="Calibri"/>
        </w:rPr>
        <w:t>L’ingénierie des formations doit permettre une meilleure cohérence de l’offre de formation sur le territoire régional, et son adaptation aux tendances lourdes des besoins en compétences des PME et autres entreprises. Elle s’appliquera prioritairement aux Domaines de Spécialisation, dans la perspective de la construction de l’offre de formation universitaire pour la période 2023-2027.</w:t>
      </w:r>
    </w:p>
    <w:p w14:paraId="1B64817B" w14:textId="77777777" w:rsidR="009D41D0" w:rsidRPr="009325D3" w:rsidRDefault="009D41D0" w:rsidP="009D41D0">
      <w:pPr>
        <w:pStyle w:val="Sansinterligne"/>
        <w:jc w:val="both"/>
        <w:rPr>
          <w:rFonts w:ascii="Calibri" w:hAnsi="Calibri" w:cs="Calibri"/>
        </w:rPr>
      </w:pPr>
      <w:r w:rsidRPr="009325D3">
        <w:rPr>
          <w:rFonts w:ascii="Calibri" w:hAnsi="Calibri" w:cs="Calibri"/>
        </w:rPr>
        <w:lastRenderedPageBreak/>
        <w:t>La diffusion accrue des savoirs et de la Culture Scientifique Technique et Industrielle fournit aux différents publics, et aux jeunes en particulier, une meilleure vision des points forts de la recherche et de l’économie régionale, et des opportunités de carrière qui leur sont associées. Elle contribue ainsi à répondre sur le long terme aux besoins en personnel qualifié des PME en renforçant l’attractivité des métiers à haute densité de connaissances.</w:t>
      </w:r>
    </w:p>
    <w:p w14:paraId="79C81509" w14:textId="77777777" w:rsidR="009D41D0" w:rsidRPr="009325D3" w:rsidRDefault="009D41D0" w:rsidP="009D41D0">
      <w:pPr>
        <w:pStyle w:val="Sansinterligne"/>
        <w:jc w:val="both"/>
        <w:rPr>
          <w:rFonts w:ascii="Calibri" w:hAnsi="Calibri" w:cs="Calibri"/>
        </w:rPr>
      </w:pPr>
      <w:r w:rsidRPr="009325D3">
        <w:rPr>
          <w:rFonts w:ascii="Calibri" w:hAnsi="Calibri" w:cs="Calibri"/>
        </w:rPr>
        <w:t xml:space="preserve">Enfin, le transfert de savoirs faire de grandes entreprises vers les PME permet de s’appuyer sur l’émulation créée au sein des écosystèmes d’innovation des DPS par l’animation des comités de pilotage et des actions de découverte entrepreneuriale pour favoriser les projets collaboratifs voir les projets de transferts de technologies entre les grands groupes et les PMEs. Il s’agit de générer des liens plus forts au sein des chaines de la valeur régionales entre les « locomotives » de ces écosystèmes et les autres acteurs afin de créer une dynamique de développement plus inclusive. </w:t>
      </w:r>
    </w:p>
    <w:p w14:paraId="502DD8CE" w14:textId="77777777" w:rsidR="009D41D0" w:rsidRDefault="009D41D0" w:rsidP="009D41D0">
      <w:pPr>
        <w:pStyle w:val="Sansinterligne"/>
        <w:jc w:val="both"/>
        <w:rPr>
          <w:rFonts w:ascii="Calibri" w:hAnsi="Calibri" w:cs="Calibri"/>
        </w:rPr>
      </w:pPr>
    </w:p>
    <w:p w14:paraId="1024F14B" w14:textId="4F822E0F" w:rsidR="009D41D0" w:rsidRPr="009325D3" w:rsidRDefault="009D41D0" w:rsidP="009D41D0">
      <w:pPr>
        <w:pStyle w:val="Sansinterligne"/>
        <w:jc w:val="both"/>
        <w:rPr>
          <w:rFonts w:ascii="Calibri" w:hAnsi="Calibri" w:cs="Calibri"/>
          <w:b/>
          <w:bCs/>
          <w:color w:val="002060"/>
        </w:rPr>
      </w:pPr>
      <w:r w:rsidRPr="009325D3">
        <w:rPr>
          <w:rFonts w:ascii="Calibri" w:hAnsi="Calibri" w:cs="Calibri"/>
          <w:b/>
          <w:bCs/>
          <w:color w:val="002060"/>
        </w:rPr>
        <w:t>Développement de l'esprit d'entreprise :</w:t>
      </w:r>
    </w:p>
    <w:p w14:paraId="74497A59" w14:textId="77777777" w:rsidR="009D41D0" w:rsidRPr="009325D3" w:rsidRDefault="009D41D0" w:rsidP="009D41D0">
      <w:pPr>
        <w:pStyle w:val="Sansinterligne"/>
        <w:jc w:val="both"/>
        <w:rPr>
          <w:rFonts w:ascii="Calibri" w:hAnsi="Calibri" w:cs="Calibri"/>
        </w:rPr>
      </w:pPr>
      <w:r w:rsidRPr="009325D3">
        <w:rPr>
          <w:rFonts w:ascii="Calibri" w:hAnsi="Calibri" w:cs="Calibri"/>
        </w:rPr>
        <w:t>Le renforcement de la dimension entrepreneuriale des formations dote les étudiants d’une meilleure connaissance de l’entreprise et de son fonctionnement. Il contribue à orienter davantage de jeunes, et d’un profil mieux adapté, vers les PME et autres entreprises. Il induit également un plus grand flux de création de start-ups.</w:t>
      </w:r>
    </w:p>
    <w:p w14:paraId="41E799B3" w14:textId="77777777" w:rsidR="009D41D0" w:rsidRPr="009325D3" w:rsidRDefault="009D41D0" w:rsidP="009D41D0">
      <w:pPr>
        <w:pStyle w:val="Sansinterligne"/>
        <w:jc w:val="both"/>
        <w:rPr>
          <w:rFonts w:ascii="Calibri" w:hAnsi="Calibri" w:cs="Calibri"/>
        </w:rPr>
      </w:pPr>
    </w:p>
    <w:p w14:paraId="6D003B1F" w14:textId="77777777" w:rsidR="009D41D0" w:rsidRPr="009325D3" w:rsidRDefault="009D41D0" w:rsidP="009D41D0">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3CE8FEF6" w14:textId="77777777" w:rsidR="009D41D0" w:rsidRPr="009325D3" w:rsidRDefault="009D41D0" w:rsidP="009D41D0">
      <w:pPr>
        <w:pStyle w:val="Sansinterligne"/>
        <w:jc w:val="both"/>
        <w:rPr>
          <w:rFonts w:ascii="Calibri" w:hAnsi="Calibri" w:cs="Calibri"/>
        </w:rPr>
      </w:pPr>
    </w:p>
    <w:p w14:paraId="5189F005" w14:textId="77777777" w:rsidR="009D41D0" w:rsidRPr="009325D3" w:rsidRDefault="009D41D0" w:rsidP="009D41D0">
      <w:pPr>
        <w:pStyle w:val="Sansinterligne"/>
        <w:jc w:val="both"/>
        <w:rPr>
          <w:rFonts w:ascii="Calibri" w:hAnsi="Calibri" w:cs="Calibri"/>
        </w:rPr>
      </w:pPr>
      <w:r w:rsidRPr="009325D3">
        <w:rPr>
          <w:rFonts w:ascii="Calibri" w:hAnsi="Calibri" w:cs="Calibri"/>
        </w:rPr>
        <w:t>L’objectif général est de développer les compétences notamment de haut niveau sur lesquelles les entreprises doivent s’appuyer pour concevoir et mettre en œuvre leurs projets d’innovation et de développement. Il s’agit de compétences spécifiques à chaque domaine ou filière concerné, mais aussi de compétences générales liées notamment au développement de l’esprit d’entreprise. Les actions soutenues concerneront en particulier les secteurs prioritaires de l’économie régionale. Elles viseront d’une part, au renforcement des compétences endogènes, d’autre part à l’attraction de compétences externes. Les fonctions ciblées sont notamment les cadres de haut niveau, ingénieurs et chercheurs.</w:t>
      </w:r>
    </w:p>
    <w:p w14:paraId="33C9C2B0" w14:textId="77777777" w:rsidR="009D41D0" w:rsidRPr="009325D3" w:rsidRDefault="009D41D0" w:rsidP="009D41D0">
      <w:pPr>
        <w:pStyle w:val="Sansinterligne"/>
        <w:jc w:val="both"/>
        <w:rPr>
          <w:rFonts w:ascii="Calibri" w:hAnsi="Calibri" w:cs="Calibri"/>
        </w:rPr>
      </w:pPr>
    </w:p>
    <w:p w14:paraId="5E3EAFBB" w14:textId="77777777" w:rsidR="009D41D0" w:rsidRPr="009325D3" w:rsidRDefault="009D41D0" w:rsidP="009D41D0">
      <w:pPr>
        <w:pStyle w:val="Sansinterligne"/>
        <w:jc w:val="both"/>
        <w:rPr>
          <w:rFonts w:ascii="Calibri" w:hAnsi="Calibri" w:cs="Calibri"/>
          <w:b/>
          <w:bCs/>
          <w:color w:val="002060"/>
        </w:rPr>
      </w:pPr>
      <w:r w:rsidRPr="009325D3">
        <w:rPr>
          <w:rFonts w:ascii="Calibri" w:hAnsi="Calibri" w:cs="Calibri"/>
          <w:b/>
          <w:bCs/>
          <w:color w:val="002060"/>
        </w:rPr>
        <w:t>Structuration de la fonction RDI dans les entreprises :</w:t>
      </w:r>
    </w:p>
    <w:p w14:paraId="25E871F3" w14:textId="77777777" w:rsidR="009D41D0" w:rsidRPr="009325D3" w:rsidRDefault="009D41D0" w:rsidP="009D41D0">
      <w:pPr>
        <w:pStyle w:val="Sansinterligne"/>
        <w:jc w:val="both"/>
        <w:rPr>
          <w:rFonts w:ascii="Calibri" w:hAnsi="Calibri" w:cs="Calibri"/>
        </w:rPr>
      </w:pPr>
      <w:r w:rsidRPr="009325D3">
        <w:rPr>
          <w:rFonts w:ascii="Calibri" w:hAnsi="Calibri" w:cs="Calibri"/>
        </w:rPr>
        <w:t>Le projet vise à accélérer la montée en puissance en matière de compétences des entreprises dans l’innovation et l’entrepreneuriat, la R&amp;D, par :</w:t>
      </w:r>
    </w:p>
    <w:p w14:paraId="61684906" w14:textId="77777777" w:rsidR="009D41D0" w:rsidRPr="009325D3" w:rsidRDefault="009D41D0" w:rsidP="009D41D0">
      <w:pPr>
        <w:pStyle w:val="Sansinterligne"/>
        <w:numPr>
          <w:ilvl w:val="0"/>
          <w:numId w:val="42"/>
        </w:numPr>
        <w:jc w:val="both"/>
        <w:rPr>
          <w:rFonts w:ascii="Calibri" w:hAnsi="Calibri" w:cs="Calibri"/>
        </w:rPr>
      </w:pPr>
      <w:r w:rsidRPr="009325D3">
        <w:rPr>
          <w:rFonts w:ascii="Calibri" w:hAnsi="Calibri" w:cs="Calibri"/>
        </w:rPr>
        <w:t>Le déploiement d’actions favorisant le recrutement de ces cadres exerçant cette fonction RDI : sensibilisation des responsables des Ressources Humaines au recrutement des cadres concernés, actions favorisant l’attractivité des territoires auprès des cadres, …</w:t>
      </w:r>
    </w:p>
    <w:p w14:paraId="78C64B89" w14:textId="77777777" w:rsidR="009D41D0" w:rsidRPr="009325D3" w:rsidRDefault="009D41D0" w:rsidP="009D41D0">
      <w:pPr>
        <w:pStyle w:val="Sansinterligne"/>
        <w:numPr>
          <w:ilvl w:val="0"/>
          <w:numId w:val="42"/>
        </w:numPr>
        <w:jc w:val="both"/>
        <w:rPr>
          <w:rFonts w:ascii="Calibri" w:hAnsi="Calibri" w:cs="Calibri"/>
        </w:rPr>
      </w:pPr>
      <w:r w:rsidRPr="009325D3">
        <w:rPr>
          <w:rFonts w:ascii="Calibri" w:hAnsi="Calibri" w:cs="Calibri"/>
        </w:rPr>
        <w:t>Le financement de l’ingénierie de formations de niveau supérieur</w:t>
      </w:r>
      <w:r>
        <w:rPr>
          <w:rFonts w:ascii="Calibri" w:hAnsi="Calibri" w:cs="Calibri"/>
        </w:rPr>
        <w:t xml:space="preserve"> (hors formation professionnelle)</w:t>
      </w:r>
      <w:r w:rsidRPr="009325D3">
        <w:rPr>
          <w:rFonts w:ascii="Calibri" w:hAnsi="Calibri" w:cs="Calibri"/>
        </w:rPr>
        <w:t>.</w:t>
      </w:r>
    </w:p>
    <w:p w14:paraId="6A4CB73C" w14:textId="77777777" w:rsidR="009D41D0" w:rsidRPr="009325D3" w:rsidRDefault="009D41D0" w:rsidP="009D41D0">
      <w:pPr>
        <w:pStyle w:val="Sansinterligne"/>
        <w:jc w:val="both"/>
        <w:rPr>
          <w:rFonts w:ascii="Calibri" w:hAnsi="Calibri" w:cs="Calibri"/>
        </w:rPr>
      </w:pPr>
    </w:p>
    <w:p w14:paraId="1C1E6B5D" w14:textId="77777777" w:rsidR="009D41D0" w:rsidRPr="009325D3" w:rsidRDefault="009D41D0" w:rsidP="009D41D0">
      <w:pPr>
        <w:pStyle w:val="Sansinterligne"/>
        <w:jc w:val="both"/>
        <w:rPr>
          <w:rFonts w:ascii="Calibri" w:hAnsi="Calibri" w:cs="Calibri"/>
          <w:b/>
          <w:bCs/>
          <w:color w:val="002060"/>
        </w:rPr>
      </w:pPr>
      <w:r w:rsidRPr="009325D3">
        <w:rPr>
          <w:rFonts w:ascii="Calibri" w:hAnsi="Calibri" w:cs="Calibri"/>
          <w:b/>
          <w:bCs/>
          <w:color w:val="002060"/>
        </w:rPr>
        <w:t>Renforcement du capital humain, notamment de haut niveau :</w:t>
      </w:r>
    </w:p>
    <w:p w14:paraId="56099E35" w14:textId="77777777" w:rsidR="009D41D0" w:rsidRPr="009325D3" w:rsidRDefault="009D41D0" w:rsidP="009D41D0">
      <w:pPr>
        <w:pStyle w:val="Sansinterligne"/>
        <w:jc w:val="both"/>
        <w:rPr>
          <w:rFonts w:ascii="Calibri" w:hAnsi="Calibri" w:cs="Calibri"/>
        </w:rPr>
      </w:pPr>
      <w:r w:rsidRPr="009325D3">
        <w:rPr>
          <w:rFonts w:ascii="Calibri" w:hAnsi="Calibri" w:cs="Calibri"/>
        </w:rPr>
        <w:t>Travailler à l’attractivité de la région et de ses entreprises doit permettre d’intégrer de nouveaux talents pour le développement endogène des entreprises. Il s’agit de soutenir les actions qui favoriseront :</w:t>
      </w:r>
    </w:p>
    <w:p w14:paraId="4A0745C6" w14:textId="77777777" w:rsidR="009D41D0" w:rsidRPr="009325D3" w:rsidRDefault="009D41D0" w:rsidP="009D41D0">
      <w:pPr>
        <w:pStyle w:val="Sansinterligne"/>
        <w:numPr>
          <w:ilvl w:val="0"/>
          <w:numId w:val="43"/>
        </w:numPr>
        <w:jc w:val="both"/>
        <w:rPr>
          <w:rFonts w:ascii="Calibri" w:hAnsi="Calibri" w:cs="Calibri"/>
        </w:rPr>
      </w:pPr>
      <w:r w:rsidRPr="009325D3">
        <w:rPr>
          <w:rFonts w:ascii="Calibri" w:hAnsi="Calibri" w:cs="Calibri"/>
        </w:rPr>
        <w:t>La mise à disposition de personnel formés (condition importante d’implantation d’entreprises à haute valeur ajoutée),</w:t>
      </w:r>
    </w:p>
    <w:p w14:paraId="140C93B3" w14:textId="77777777" w:rsidR="009D41D0" w:rsidRPr="009325D3" w:rsidRDefault="009D41D0" w:rsidP="009D41D0">
      <w:pPr>
        <w:pStyle w:val="Sansinterligne"/>
        <w:numPr>
          <w:ilvl w:val="0"/>
          <w:numId w:val="43"/>
        </w:numPr>
        <w:jc w:val="both"/>
        <w:rPr>
          <w:rFonts w:ascii="Calibri" w:hAnsi="Calibri" w:cs="Calibri"/>
        </w:rPr>
      </w:pPr>
      <w:r w:rsidRPr="009325D3">
        <w:rPr>
          <w:rFonts w:ascii="Calibri" w:hAnsi="Calibri" w:cs="Calibri"/>
        </w:rPr>
        <w:t>L’accueil de chercheurs étrangers de haut niveau, qui développeront des partenariats avec les laboratoires et les entreprises de la région. Ces derniers, renforceront ainsi les compétences et savoir-faire des acteurs régionaux qui est un autre enjeu majeur.</w:t>
      </w:r>
    </w:p>
    <w:p w14:paraId="418AFA8A" w14:textId="77777777" w:rsidR="009D41D0" w:rsidRPr="009325D3" w:rsidRDefault="009D41D0" w:rsidP="009D41D0">
      <w:pPr>
        <w:pStyle w:val="Sansinterligne"/>
        <w:numPr>
          <w:ilvl w:val="0"/>
          <w:numId w:val="43"/>
        </w:numPr>
        <w:jc w:val="both"/>
        <w:rPr>
          <w:rFonts w:ascii="Calibri" w:hAnsi="Calibri" w:cs="Calibri"/>
        </w:rPr>
      </w:pPr>
      <w:r w:rsidRPr="009325D3">
        <w:rPr>
          <w:rFonts w:ascii="Calibri" w:hAnsi="Calibri" w:cs="Calibri"/>
        </w:rPr>
        <w:t>Une ingénierie de formation destinée à adapter tout au long de la vue le capital humain régional aux enjeux de développement et de mutation.</w:t>
      </w:r>
    </w:p>
    <w:p w14:paraId="0BBA6909" w14:textId="77777777" w:rsidR="009D41D0" w:rsidRPr="009325D3" w:rsidRDefault="009D41D0" w:rsidP="009D41D0">
      <w:pPr>
        <w:pStyle w:val="Sansinterligne"/>
        <w:numPr>
          <w:ilvl w:val="0"/>
          <w:numId w:val="43"/>
        </w:numPr>
        <w:jc w:val="both"/>
        <w:rPr>
          <w:rFonts w:ascii="Calibri" w:hAnsi="Calibri" w:cs="Calibri"/>
        </w:rPr>
      </w:pPr>
      <w:r w:rsidRPr="009325D3">
        <w:rPr>
          <w:rFonts w:ascii="Calibri" w:hAnsi="Calibri" w:cs="Calibri"/>
        </w:rPr>
        <w:t>La diffusion de la culture scientifique, technique et industrielle et la culture de l’innovation auprès du grand public comme de salariés le cas échéant</w:t>
      </w:r>
    </w:p>
    <w:p w14:paraId="095C3D23" w14:textId="77777777" w:rsidR="009D41D0" w:rsidRPr="009325D3" w:rsidRDefault="009D41D0" w:rsidP="009D41D0">
      <w:pPr>
        <w:pStyle w:val="Sansinterligne"/>
        <w:numPr>
          <w:ilvl w:val="0"/>
          <w:numId w:val="43"/>
        </w:numPr>
        <w:jc w:val="both"/>
        <w:rPr>
          <w:rFonts w:ascii="Calibri" w:hAnsi="Calibri" w:cs="Calibri"/>
        </w:rPr>
      </w:pPr>
      <w:r w:rsidRPr="009325D3">
        <w:rPr>
          <w:rFonts w:ascii="Calibri" w:hAnsi="Calibri" w:cs="Calibri"/>
        </w:rPr>
        <w:t>Des actions collectives au niveau des territoires et des entreprises visant à attirer et retenir les compétences dont les entreprises ont besoin pour se développer.</w:t>
      </w:r>
    </w:p>
    <w:p w14:paraId="32A22A67" w14:textId="77777777" w:rsidR="009D41D0" w:rsidRPr="009325D3" w:rsidRDefault="009D41D0" w:rsidP="009D41D0">
      <w:pPr>
        <w:pStyle w:val="Sansinterligne"/>
        <w:jc w:val="both"/>
        <w:rPr>
          <w:rFonts w:ascii="Calibri" w:hAnsi="Calibri" w:cs="Calibri"/>
        </w:rPr>
      </w:pPr>
    </w:p>
    <w:p w14:paraId="12417E39" w14:textId="77777777" w:rsidR="009D41D0" w:rsidRPr="009325D3" w:rsidRDefault="009D41D0" w:rsidP="009D41D0">
      <w:pPr>
        <w:pStyle w:val="Sansinterligne"/>
        <w:jc w:val="both"/>
        <w:rPr>
          <w:rFonts w:ascii="Calibri" w:hAnsi="Calibri" w:cs="Calibri"/>
          <w:b/>
          <w:bCs/>
          <w:color w:val="002060"/>
        </w:rPr>
      </w:pPr>
      <w:r w:rsidRPr="009325D3">
        <w:rPr>
          <w:rFonts w:ascii="Calibri" w:hAnsi="Calibri" w:cs="Calibri"/>
          <w:b/>
          <w:bCs/>
          <w:color w:val="002060"/>
        </w:rPr>
        <w:t>Encouragement de la dynamique de réseau pour renforcer le capital humain :</w:t>
      </w:r>
    </w:p>
    <w:p w14:paraId="75940B26" w14:textId="77777777" w:rsidR="009D41D0" w:rsidRPr="009325D3" w:rsidRDefault="009D41D0" w:rsidP="009D41D0">
      <w:pPr>
        <w:pStyle w:val="Sansinterligne"/>
        <w:numPr>
          <w:ilvl w:val="0"/>
          <w:numId w:val="44"/>
        </w:numPr>
        <w:jc w:val="both"/>
        <w:rPr>
          <w:rFonts w:ascii="Calibri" w:hAnsi="Calibri" w:cs="Calibri"/>
        </w:rPr>
      </w:pPr>
      <w:r w:rsidRPr="009325D3">
        <w:rPr>
          <w:rFonts w:ascii="Calibri" w:hAnsi="Calibri" w:cs="Calibri"/>
        </w:rPr>
        <w:t>Actions des clusters concernant les filières présentant des besoins en matière de compétences,</w:t>
      </w:r>
    </w:p>
    <w:p w14:paraId="4B7CA4B8" w14:textId="77777777" w:rsidR="009D41D0" w:rsidRPr="009325D3" w:rsidRDefault="009D41D0" w:rsidP="009D41D0">
      <w:pPr>
        <w:pStyle w:val="Sansinterligne"/>
        <w:numPr>
          <w:ilvl w:val="0"/>
          <w:numId w:val="44"/>
        </w:numPr>
        <w:jc w:val="both"/>
        <w:rPr>
          <w:rFonts w:ascii="Calibri" w:hAnsi="Calibri" w:cs="Calibri"/>
        </w:rPr>
      </w:pPr>
      <w:r w:rsidRPr="009325D3">
        <w:rPr>
          <w:rFonts w:ascii="Calibri" w:hAnsi="Calibri" w:cs="Calibri"/>
        </w:rPr>
        <w:t xml:space="preserve">Ingénierie des formations, dans l’objectif de construction d’une offre cohérente répondant aux besoins des PME et autres entreprises en particulier dans les DPS et les secteurs prioritaires de l’économie. </w:t>
      </w:r>
    </w:p>
    <w:p w14:paraId="07C800B0" w14:textId="77777777" w:rsidR="009D41D0" w:rsidRPr="009325D3" w:rsidRDefault="009D41D0" w:rsidP="009D41D0">
      <w:pPr>
        <w:pStyle w:val="Sansinterligne"/>
        <w:numPr>
          <w:ilvl w:val="0"/>
          <w:numId w:val="44"/>
        </w:numPr>
        <w:jc w:val="both"/>
        <w:rPr>
          <w:rFonts w:ascii="Calibri" w:hAnsi="Calibri" w:cs="Calibri"/>
        </w:rPr>
      </w:pPr>
      <w:r w:rsidRPr="009325D3">
        <w:rPr>
          <w:rFonts w:ascii="Calibri" w:hAnsi="Calibri" w:cs="Calibri"/>
        </w:rPr>
        <w:t xml:space="preserve">Opérations et animation de réseau visant à diffuser la Culture Scientifique, Technique et Industrielle </w:t>
      </w:r>
    </w:p>
    <w:p w14:paraId="1ECF0B40" w14:textId="77777777" w:rsidR="009D41D0" w:rsidRPr="009325D3" w:rsidRDefault="009D41D0" w:rsidP="009D41D0">
      <w:pPr>
        <w:pStyle w:val="Sansinterligne"/>
        <w:jc w:val="both"/>
        <w:rPr>
          <w:rFonts w:ascii="Calibri" w:hAnsi="Calibri" w:cs="Calibri"/>
        </w:rPr>
      </w:pPr>
    </w:p>
    <w:p w14:paraId="48434692" w14:textId="4FBD1DEA" w:rsidR="009D41D0" w:rsidRPr="009D41D0" w:rsidRDefault="009D41D0" w:rsidP="009D41D0">
      <w:pPr>
        <w:pStyle w:val="Sansinterligne"/>
        <w:jc w:val="both"/>
        <w:rPr>
          <w:rFonts w:ascii="Calibri" w:hAnsi="Calibri" w:cs="Calibri"/>
        </w:rPr>
      </w:pPr>
      <w:r w:rsidRPr="009325D3">
        <w:rPr>
          <w:rFonts w:ascii="Calibri" w:hAnsi="Calibri" w:cs="Calibri"/>
          <w:b/>
          <w:bCs/>
          <w:color w:val="002060"/>
        </w:rPr>
        <w:t xml:space="preserve">Développement de l’esprit d’entreprise : </w:t>
      </w:r>
      <w:r w:rsidRPr="009325D3">
        <w:rPr>
          <w:rFonts w:ascii="Calibri" w:hAnsi="Calibri" w:cs="Calibri"/>
        </w:rPr>
        <w:t>soutien à l’entrepreneuriat étudiant au sein des établissements d’enseignement supérieur : actions de sensibilisation, de formation, d’accompagnement à des projets de création, …</w:t>
      </w:r>
    </w:p>
    <w:p w14:paraId="57F71B04" w14:textId="77777777" w:rsidR="009D41D0" w:rsidRPr="009325D3" w:rsidRDefault="009D41D0" w:rsidP="009D41D0">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lastRenderedPageBreak/>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3DD46057" w14:textId="77777777" w:rsidR="009D41D0" w:rsidRPr="009325D3" w:rsidRDefault="009D41D0" w:rsidP="009D41D0">
      <w:pPr>
        <w:pStyle w:val="Sansinterligne"/>
        <w:jc w:val="both"/>
        <w:rPr>
          <w:rFonts w:ascii="Calibri" w:hAnsi="Calibri" w:cs="Calibri"/>
        </w:rPr>
      </w:pPr>
    </w:p>
    <w:p w14:paraId="1780B510" w14:textId="77777777" w:rsidR="009D41D0" w:rsidRPr="009325D3" w:rsidRDefault="009D41D0" w:rsidP="009D41D0">
      <w:pPr>
        <w:pStyle w:val="Sansinterligne"/>
        <w:jc w:val="both"/>
        <w:rPr>
          <w:rFonts w:ascii="Calibri" w:hAnsi="Calibri" w:cs="Calibri"/>
        </w:rPr>
      </w:pPr>
      <w:r w:rsidRPr="009325D3">
        <w:rPr>
          <w:rFonts w:ascii="Calibri" w:hAnsi="Calibri" w:cs="Calibri"/>
          <w:strike/>
        </w:rPr>
        <w:t>I</w:t>
      </w:r>
      <w:r w:rsidRPr="009325D3">
        <w:rPr>
          <w:rFonts w:ascii="Calibri" w:hAnsi="Calibri" w:cs="Calibri"/>
        </w:rPr>
        <w:t>ntermédiaires en innovation notamment les centres de ressources technologiques ou les cellules de diffusion technologique, Entreprises régionales, Structures d’appui à l’innovation ; Associations mettant en œuvre des programmes d’actions destinées à soutenir la visibilité à l’international des établissements de recherche et d’enseignement supérieur en Région Centre-Val de Loire ; Associations et centres de diffusion de la culture scientifique, technique et industrielle.</w:t>
      </w:r>
    </w:p>
    <w:p w14:paraId="3FAED6EB" w14:textId="77777777" w:rsidR="009D41D0" w:rsidRPr="009325D3" w:rsidRDefault="009D41D0" w:rsidP="009D41D0">
      <w:pPr>
        <w:pStyle w:val="Sansinterligne"/>
        <w:jc w:val="both"/>
        <w:rPr>
          <w:rFonts w:ascii="Calibri" w:hAnsi="Calibri" w:cs="Calibri"/>
        </w:rPr>
      </w:pPr>
    </w:p>
    <w:p w14:paraId="3177C060" w14:textId="77777777" w:rsidR="009D41D0" w:rsidRPr="009325D3" w:rsidRDefault="009D41D0" w:rsidP="009D41D0">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5A1BF5E5" w14:textId="77777777" w:rsidR="009D41D0" w:rsidRPr="009325D3" w:rsidRDefault="009D41D0" w:rsidP="009D41D0">
      <w:pPr>
        <w:pStyle w:val="Sansinterligne"/>
        <w:jc w:val="both"/>
        <w:rPr>
          <w:rFonts w:ascii="Calibri" w:hAnsi="Calibri" w:cs="Calibri"/>
        </w:rPr>
      </w:pPr>
    </w:p>
    <w:p w14:paraId="7DB535EB" w14:textId="77777777" w:rsidR="009D41D0" w:rsidRPr="009325D3" w:rsidRDefault="009D41D0" w:rsidP="009D41D0">
      <w:pPr>
        <w:pStyle w:val="Sansinterligne"/>
        <w:jc w:val="both"/>
        <w:rPr>
          <w:rFonts w:ascii="Calibri" w:hAnsi="Calibri" w:cs="Calibri"/>
        </w:rPr>
      </w:pPr>
      <w:r w:rsidRPr="009325D3">
        <w:rPr>
          <w:rFonts w:ascii="Calibri" w:hAnsi="Calibri" w:cs="Calibri"/>
        </w:rPr>
        <w:t>Région Centre-Val de Loire</w:t>
      </w:r>
    </w:p>
    <w:p w14:paraId="2BE26F82" w14:textId="77777777" w:rsidR="009D41D0" w:rsidRPr="009325D3" w:rsidRDefault="009D41D0" w:rsidP="009D41D0">
      <w:pPr>
        <w:pStyle w:val="Sansinterligne"/>
        <w:jc w:val="both"/>
        <w:rPr>
          <w:rFonts w:ascii="Calibri" w:hAnsi="Calibri" w:cs="Calibri"/>
        </w:rPr>
      </w:pPr>
    </w:p>
    <w:p w14:paraId="28DCA0E0" w14:textId="77777777" w:rsidR="009D41D0" w:rsidRPr="009325D3" w:rsidRDefault="009D41D0" w:rsidP="009D41D0">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33147244" w14:textId="77777777" w:rsidR="009D41D0" w:rsidRPr="009325D3" w:rsidRDefault="009D41D0" w:rsidP="009D41D0">
      <w:pPr>
        <w:pStyle w:val="Sansinterligne"/>
        <w:jc w:val="both"/>
        <w:rPr>
          <w:rFonts w:ascii="Calibri" w:hAnsi="Calibri" w:cs="Calibri"/>
        </w:rPr>
      </w:pPr>
    </w:p>
    <w:p w14:paraId="327059B8" w14:textId="77777777" w:rsidR="009D41D0" w:rsidRPr="009325D3" w:rsidRDefault="009D41D0" w:rsidP="009D41D0">
      <w:pPr>
        <w:pStyle w:val="Sansinterligne"/>
        <w:numPr>
          <w:ilvl w:val="0"/>
          <w:numId w:val="44"/>
        </w:numPr>
        <w:jc w:val="both"/>
        <w:rPr>
          <w:rFonts w:ascii="Calibri" w:hAnsi="Calibri" w:cs="Calibri"/>
        </w:rPr>
      </w:pPr>
      <w:r w:rsidRPr="009325D3">
        <w:rPr>
          <w:rFonts w:ascii="Calibri" w:hAnsi="Calibri" w:cs="Calibri"/>
        </w:rPr>
        <w:t xml:space="preserve">Dimension régionale et partenariale </w:t>
      </w:r>
    </w:p>
    <w:p w14:paraId="1B2EB878" w14:textId="77777777" w:rsidR="009D41D0" w:rsidRPr="009325D3" w:rsidRDefault="009D41D0" w:rsidP="009D41D0">
      <w:pPr>
        <w:pStyle w:val="Sansinterligne"/>
        <w:jc w:val="both"/>
        <w:rPr>
          <w:rFonts w:ascii="Calibri" w:hAnsi="Calibri" w:cs="Calibri"/>
        </w:rPr>
      </w:pPr>
    </w:p>
    <w:p w14:paraId="6A679827" w14:textId="77777777" w:rsidR="009D41D0" w:rsidRPr="009325D3" w:rsidRDefault="009D41D0" w:rsidP="009D41D0">
      <w:pPr>
        <w:pStyle w:val="Sansinterligne"/>
        <w:numPr>
          <w:ilvl w:val="0"/>
          <w:numId w:val="44"/>
        </w:numPr>
        <w:jc w:val="both"/>
        <w:rPr>
          <w:rFonts w:ascii="Calibri" w:hAnsi="Calibri" w:cs="Calibri"/>
        </w:rPr>
      </w:pPr>
      <w:r>
        <w:rPr>
          <w:rFonts w:ascii="Calibri" w:hAnsi="Calibri" w:cs="Calibri"/>
        </w:rPr>
        <w:t>C</w:t>
      </w:r>
      <w:r w:rsidRPr="009325D3">
        <w:rPr>
          <w:rFonts w:ascii="Calibri" w:hAnsi="Calibri" w:cs="Calibri"/>
        </w:rPr>
        <w:t xml:space="preserve">apacité administrative mobilisable pour la production des éléments relatifs à la justification des dépenses ainsi que pour la réalisation d’un </w:t>
      </w:r>
      <w:proofErr w:type="spellStart"/>
      <w:r w:rsidRPr="009325D3">
        <w:rPr>
          <w:rFonts w:ascii="Calibri" w:hAnsi="Calibri" w:cs="Calibri"/>
        </w:rPr>
        <w:t>reporting</w:t>
      </w:r>
      <w:proofErr w:type="spellEnd"/>
      <w:r w:rsidRPr="009325D3">
        <w:rPr>
          <w:rFonts w:ascii="Calibri" w:hAnsi="Calibri" w:cs="Calibri"/>
        </w:rPr>
        <w:t xml:space="preserve"> exhaustif de leurs activités seront des critères déterminants de leur sélection</w:t>
      </w:r>
    </w:p>
    <w:p w14:paraId="2344F1BA" w14:textId="77777777" w:rsidR="009D41D0" w:rsidRPr="00A663D9" w:rsidRDefault="009D41D0" w:rsidP="009D41D0">
      <w:pPr>
        <w:pStyle w:val="Sansinterligne"/>
        <w:jc w:val="both"/>
        <w:rPr>
          <w:rFonts w:ascii="Calibri" w:hAnsi="Calibri" w:cs="Calibri"/>
        </w:rPr>
      </w:pPr>
    </w:p>
    <w:p w14:paraId="26FA3314" w14:textId="77777777" w:rsidR="009D41D0" w:rsidRPr="009325D3" w:rsidRDefault="009D41D0" w:rsidP="009D41D0">
      <w:pPr>
        <w:pStyle w:val="Sansinterligne"/>
        <w:numPr>
          <w:ilvl w:val="0"/>
          <w:numId w:val="44"/>
        </w:numPr>
        <w:jc w:val="both"/>
        <w:rPr>
          <w:rFonts w:ascii="Calibri" w:hAnsi="Calibri" w:cs="Calibri"/>
        </w:rPr>
      </w:pPr>
      <w:r w:rsidRPr="009325D3">
        <w:rPr>
          <w:rFonts w:ascii="Calibri" w:hAnsi="Calibri" w:cs="Calibri"/>
        </w:rPr>
        <w:t>Adéquation des actions proposées et des moyens humains, logistiques et financiers mis en œuvre afin d’apprécier l’implication des structures d’accompagnement dans la réalisation de leurs missions.</w:t>
      </w:r>
    </w:p>
    <w:p w14:paraId="67865D2E" w14:textId="77777777" w:rsidR="009D41D0" w:rsidRPr="009325D3" w:rsidRDefault="009D41D0" w:rsidP="009D41D0">
      <w:pPr>
        <w:pStyle w:val="Sansinterligne"/>
        <w:jc w:val="both"/>
        <w:rPr>
          <w:rFonts w:ascii="Calibri" w:hAnsi="Calibri" w:cs="Calibri"/>
        </w:rPr>
      </w:pPr>
    </w:p>
    <w:p w14:paraId="28B1A287" w14:textId="77777777" w:rsidR="009D41D0" w:rsidRPr="009325D3" w:rsidRDefault="009D41D0" w:rsidP="009D41D0">
      <w:pPr>
        <w:pStyle w:val="Sansinterligne"/>
        <w:numPr>
          <w:ilvl w:val="0"/>
          <w:numId w:val="44"/>
        </w:numPr>
        <w:jc w:val="both"/>
        <w:rPr>
          <w:rFonts w:ascii="Calibri" w:hAnsi="Calibri" w:cs="Calibri"/>
        </w:rPr>
      </w:pPr>
      <w:r w:rsidRPr="009325D3">
        <w:rPr>
          <w:rFonts w:ascii="Calibri" w:hAnsi="Calibri" w:cs="Calibri"/>
        </w:rPr>
        <w:t>Nombre significatif de bénéficiaires par action mise en œuvre : outre l’indispensable niveau qualitatif associé aux actions finançables, le nombre de bénéficiaires potentiellement concernés par ces actions au titre des fonds européens devra être optimisé.</w:t>
      </w:r>
    </w:p>
    <w:p w14:paraId="41B4CF56" w14:textId="77777777" w:rsidR="009D41D0" w:rsidRPr="009325D3" w:rsidRDefault="009D41D0" w:rsidP="009D41D0">
      <w:pPr>
        <w:pStyle w:val="Sansinterligne"/>
        <w:jc w:val="both"/>
        <w:rPr>
          <w:rFonts w:ascii="Calibri" w:hAnsi="Calibri" w:cs="Calibri"/>
        </w:rPr>
      </w:pPr>
    </w:p>
    <w:p w14:paraId="5082FC38" w14:textId="77777777" w:rsidR="009D41D0" w:rsidRPr="009325D3" w:rsidRDefault="009D41D0" w:rsidP="009D41D0">
      <w:pPr>
        <w:pStyle w:val="Sansinterligne"/>
        <w:numPr>
          <w:ilvl w:val="0"/>
          <w:numId w:val="44"/>
        </w:numPr>
        <w:jc w:val="both"/>
        <w:rPr>
          <w:rFonts w:ascii="Calibri" w:hAnsi="Calibri" w:cs="Calibri"/>
        </w:rPr>
      </w:pPr>
      <w:r w:rsidRPr="009325D3">
        <w:rPr>
          <w:rFonts w:ascii="Calibri" w:hAnsi="Calibri" w:cs="Calibri"/>
        </w:rPr>
        <w:t>Effet levier des opérations</w:t>
      </w:r>
    </w:p>
    <w:p w14:paraId="4C12D259" w14:textId="77777777" w:rsidR="009D41D0" w:rsidRPr="009325D3" w:rsidRDefault="009D41D0" w:rsidP="009D41D0">
      <w:pPr>
        <w:pStyle w:val="Sansinterligne"/>
        <w:jc w:val="both"/>
        <w:rPr>
          <w:rFonts w:ascii="Calibri" w:hAnsi="Calibri" w:cs="Calibri"/>
        </w:rPr>
      </w:pPr>
    </w:p>
    <w:p w14:paraId="091C90A7" w14:textId="77777777" w:rsidR="009D41D0" w:rsidRPr="009325D3" w:rsidRDefault="009D41D0" w:rsidP="009D41D0">
      <w:pPr>
        <w:pStyle w:val="Sansinterligne"/>
        <w:numPr>
          <w:ilvl w:val="0"/>
          <w:numId w:val="44"/>
        </w:numPr>
        <w:jc w:val="both"/>
        <w:rPr>
          <w:rFonts w:ascii="Calibri" w:hAnsi="Calibri" w:cs="Calibri"/>
        </w:rPr>
      </w:pPr>
      <w:r w:rsidRPr="009325D3">
        <w:rPr>
          <w:rFonts w:ascii="Calibri" w:hAnsi="Calibri" w:cs="Calibri"/>
        </w:rPr>
        <w:t xml:space="preserve">Contribution à l’atteinte des objectifs spécifiques du Programmes et notamment impact sur les indicateurs de réalisation et de résultat. </w:t>
      </w:r>
    </w:p>
    <w:p w14:paraId="27E614DC" w14:textId="77777777" w:rsidR="009D41D0" w:rsidRPr="009325D3" w:rsidRDefault="009D41D0" w:rsidP="009D41D0">
      <w:pPr>
        <w:pStyle w:val="Sansinterligne"/>
        <w:jc w:val="both"/>
        <w:rPr>
          <w:rFonts w:ascii="Calibri" w:hAnsi="Calibri" w:cs="Calibri"/>
        </w:rPr>
      </w:pPr>
    </w:p>
    <w:p w14:paraId="40BB0C9F" w14:textId="77777777" w:rsidR="009D41D0" w:rsidRPr="009325D3" w:rsidRDefault="009D41D0" w:rsidP="009D41D0">
      <w:pPr>
        <w:pStyle w:val="Sansinterligne"/>
        <w:numPr>
          <w:ilvl w:val="0"/>
          <w:numId w:val="44"/>
        </w:numPr>
        <w:jc w:val="both"/>
        <w:rPr>
          <w:rFonts w:ascii="Calibri" w:hAnsi="Calibri" w:cs="Calibri"/>
        </w:rPr>
      </w:pPr>
      <w:r w:rsidRPr="009325D3">
        <w:rPr>
          <w:rFonts w:ascii="Calibri" w:hAnsi="Calibri" w:cs="Calibri"/>
        </w:rPr>
        <w:t>Les opérations doivent être en cohérence avec les principes horizontaux suivants : égalité des chances, non-discrimination, égalité entre les hommes et les femmes, et développement durable.</w:t>
      </w:r>
    </w:p>
    <w:p w14:paraId="62DFFB4A" w14:textId="77777777" w:rsidR="009D41D0" w:rsidRPr="009325D3" w:rsidRDefault="009D41D0" w:rsidP="009D41D0">
      <w:pPr>
        <w:pStyle w:val="Sansinterligne"/>
        <w:jc w:val="both"/>
        <w:rPr>
          <w:rFonts w:ascii="Calibri" w:hAnsi="Calibri" w:cs="Calibri"/>
        </w:rPr>
      </w:pPr>
    </w:p>
    <w:p w14:paraId="45B82352" w14:textId="77777777" w:rsidR="009D41D0" w:rsidRPr="009325D3" w:rsidRDefault="009D41D0" w:rsidP="009D41D0">
      <w:pPr>
        <w:pStyle w:val="Sansinterligne"/>
        <w:numPr>
          <w:ilvl w:val="0"/>
          <w:numId w:val="44"/>
        </w:numPr>
        <w:jc w:val="both"/>
        <w:rPr>
          <w:rFonts w:ascii="Calibri" w:hAnsi="Calibri" w:cs="Calibri"/>
        </w:rPr>
      </w:pPr>
      <w:r w:rsidRPr="009325D3">
        <w:rPr>
          <w:rFonts w:ascii="Calibri" w:hAnsi="Calibri" w:cs="Calibri"/>
        </w:rPr>
        <w:t>Capacité financière : Les candidats doivent disposer de sources de financement stables et suffisantes pour maintenir leur activité pendant toute la période d’exécution de l’action ou l’exercice subventionné et pour participer à son financement</w:t>
      </w:r>
      <w:r w:rsidRPr="009325D3">
        <w:rPr>
          <w:rFonts w:ascii="Calibri" w:hAnsi="Calibri" w:cs="Calibri"/>
        </w:rPr>
        <w:tab/>
      </w:r>
      <w:r w:rsidRPr="009325D3">
        <w:rPr>
          <w:rFonts w:ascii="Calibri" w:hAnsi="Calibri" w:cs="Calibri"/>
        </w:rPr>
        <w:tab/>
      </w:r>
    </w:p>
    <w:p w14:paraId="442FC7AC" w14:textId="77777777" w:rsidR="009D41D0" w:rsidRPr="009325D3" w:rsidRDefault="009D41D0" w:rsidP="009D41D0">
      <w:pPr>
        <w:pStyle w:val="Sansinterligne"/>
        <w:jc w:val="both"/>
        <w:rPr>
          <w:rFonts w:ascii="Calibri" w:hAnsi="Calibri" w:cs="Calibri"/>
        </w:rPr>
      </w:pPr>
    </w:p>
    <w:p w14:paraId="780BE4E0" w14:textId="77777777" w:rsidR="009D41D0" w:rsidRPr="009325D3" w:rsidRDefault="009D41D0" w:rsidP="009D41D0">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7B586BF1" w14:textId="77777777" w:rsidR="009D41D0" w:rsidRPr="009325D3" w:rsidRDefault="009D41D0" w:rsidP="009D41D0">
      <w:pPr>
        <w:pStyle w:val="Sansinterligne"/>
        <w:jc w:val="both"/>
        <w:rPr>
          <w:rFonts w:ascii="Calibri" w:hAnsi="Calibri" w:cs="Calibri"/>
        </w:rPr>
      </w:pPr>
    </w:p>
    <w:p w14:paraId="0A320573" w14:textId="77777777" w:rsidR="009D41D0" w:rsidRPr="009325D3" w:rsidRDefault="009D41D0" w:rsidP="009D41D0">
      <w:pPr>
        <w:pStyle w:val="Sansinterligne"/>
        <w:jc w:val="both"/>
        <w:rPr>
          <w:rFonts w:ascii="Calibri" w:hAnsi="Calibri" w:cs="Calibri"/>
        </w:rPr>
      </w:pPr>
      <w:r w:rsidRPr="009325D3">
        <w:rPr>
          <w:rFonts w:ascii="Calibri" w:hAnsi="Calibri" w:cs="Calibri"/>
        </w:rPr>
        <w:t>Guichet (au fil de l’eau) ou Appel à projets</w:t>
      </w:r>
    </w:p>
    <w:p w14:paraId="3C07BADC" w14:textId="77777777" w:rsidR="009D41D0" w:rsidRPr="009325D3" w:rsidRDefault="009D41D0" w:rsidP="009D41D0">
      <w:pPr>
        <w:pStyle w:val="Sansinterligne"/>
        <w:jc w:val="both"/>
        <w:rPr>
          <w:rFonts w:ascii="Calibri" w:hAnsi="Calibri" w:cs="Calibri"/>
        </w:rPr>
      </w:pPr>
    </w:p>
    <w:p w14:paraId="0F98589A" w14:textId="77777777" w:rsidR="009D41D0" w:rsidRPr="009325D3" w:rsidRDefault="009D41D0" w:rsidP="009D41D0">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628BB4C8" w14:textId="77777777" w:rsidR="009D41D0" w:rsidRPr="009325D3" w:rsidRDefault="009D41D0" w:rsidP="009D41D0">
      <w:pPr>
        <w:pStyle w:val="Sansinterligne"/>
        <w:jc w:val="both"/>
        <w:rPr>
          <w:rFonts w:ascii="Calibri" w:hAnsi="Calibri" w:cs="Calibri"/>
        </w:rPr>
      </w:pPr>
    </w:p>
    <w:p w14:paraId="24A33646" w14:textId="77777777" w:rsidR="009D41D0" w:rsidRPr="009325D3" w:rsidRDefault="009D41D0" w:rsidP="009D41D0">
      <w:pPr>
        <w:pStyle w:val="Sansinterligne"/>
        <w:jc w:val="both"/>
        <w:rPr>
          <w:rFonts w:ascii="Calibri" w:hAnsi="Calibri" w:cs="Calibri"/>
        </w:rPr>
      </w:pPr>
      <w:r w:rsidRPr="009325D3">
        <w:rPr>
          <w:rFonts w:ascii="Calibri" w:hAnsi="Calibri" w:cs="Calibri"/>
        </w:rPr>
        <w:t>1.1 Bonne gouvernance de la stratégie nationale ou régionale de spécialisation intelligente</w:t>
      </w:r>
    </w:p>
    <w:p w14:paraId="2465D833" w14:textId="77777777" w:rsidR="009D41D0" w:rsidRPr="009325D3" w:rsidRDefault="009D41D0" w:rsidP="009D41D0">
      <w:pPr>
        <w:pStyle w:val="Sansinterligne"/>
        <w:jc w:val="both"/>
        <w:rPr>
          <w:rFonts w:ascii="Calibri" w:hAnsi="Calibri" w:cs="Calibri"/>
        </w:rPr>
      </w:pPr>
    </w:p>
    <w:p w14:paraId="7223DBEA" w14:textId="77777777" w:rsidR="009D41D0" w:rsidRPr="009325D3" w:rsidRDefault="009D41D0" w:rsidP="009D41D0">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64B89378" w14:textId="77777777" w:rsidR="009D41D0" w:rsidRPr="009325D3" w:rsidRDefault="009D41D0" w:rsidP="009D41D0">
      <w:pPr>
        <w:pStyle w:val="Sansinterligne"/>
        <w:jc w:val="both"/>
        <w:rPr>
          <w:rFonts w:ascii="Calibri" w:hAnsi="Calibri" w:cs="Calibri"/>
        </w:rPr>
      </w:pPr>
    </w:p>
    <w:p w14:paraId="17FE5F5A" w14:textId="77777777" w:rsidR="009D41D0" w:rsidRPr="009325D3" w:rsidRDefault="009D41D0" w:rsidP="009D41D0">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5D0DB413" w14:textId="77777777" w:rsidR="009D41D0" w:rsidRPr="009325D3" w:rsidRDefault="009D41D0" w:rsidP="009D41D0">
      <w:pPr>
        <w:pStyle w:val="Sansinterligne"/>
        <w:jc w:val="both"/>
        <w:rPr>
          <w:rFonts w:ascii="Calibri" w:hAnsi="Calibri" w:cs="Calibri"/>
        </w:rPr>
      </w:pPr>
    </w:p>
    <w:p w14:paraId="71C22041" w14:textId="77777777" w:rsidR="009D41D0" w:rsidRPr="009325D3" w:rsidRDefault="009D41D0" w:rsidP="009D41D0">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lastRenderedPageBreak/>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3F5C5845" w14:textId="77777777" w:rsidR="009D41D0" w:rsidRPr="009325D3" w:rsidRDefault="009D41D0" w:rsidP="009D41D0">
      <w:pPr>
        <w:pStyle w:val="Sansinterligne"/>
        <w:jc w:val="both"/>
        <w:rPr>
          <w:rFonts w:ascii="Calibri" w:hAnsi="Calibri" w:cs="Calibri"/>
        </w:rPr>
      </w:pPr>
    </w:p>
    <w:p w14:paraId="54B3363E" w14:textId="77777777" w:rsidR="009D41D0" w:rsidRPr="009325D3" w:rsidRDefault="009D41D0" w:rsidP="009D41D0">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7A34C6EE"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55C09391"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57EA0C4C"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48E6ABA8"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 aide d'État» visée à l'article 107, paragraphe 1, du traité sur le fonctionnement de l'Union européenne, C/2016/2946, OJ C 262, 19.7.2016, p. 1–50 .</w:t>
      </w:r>
    </w:p>
    <w:p w14:paraId="54542306" w14:textId="77777777" w:rsidR="009D41D0" w:rsidRPr="009325D3" w:rsidRDefault="009D41D0" w:rsidP="009D41D0">
      <w:pPr>
        <w:pStyle w:val="Sansinterligne"/>
        <w:jc w:val="both"/>
        <w:rPr>
          <w:rFonts w:ascii="Calibri" w:hAnsi="Calibri" w:cs="Calibri"/>
        </w:rPr>
      </w:pPr>
      <w:r w:rsidRPr="009325D3">
        <w:rPr>
          <w:rFonts w:ascii="Calibri" w:hAnsi="Calibri" w:cs="Calibri"/>
        </w:rPr>
        <w:t xml:space="preserve">  </w:t>
      </w:r>
    </w:p>
    <w:p w14:paraId="3AD07299" w14:textId="77777777" w:rsidR="009D41D0" w:rsidRPr="009325D3" w:rsidRDefault="009D41D0" w:rsidP="009D41D0">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69C9341E"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66E14940"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6BC3FABB" w14:textId="77777777" w:rsidR="009D41D0" w:rsidRPr="009325D3" w:rsidRDefault="009D41D0" w:rsidP="009D41D0">
      <w:pPr>
        <w:pStyle w:val="Sansinterligne"/>
        <w:ind w:left="720"/>
        <w:jc w:val="both"/>
        <w:rPr>
          <w:rFonts w:ascii="Calibri" w:hAnsi="Calibri" w:cs="Calibri"/>
        </w:rPr>
      </w:pPr>
    </w:p>
    <w:p w14:paraId="5876DA02" w14:textId="77777777" w:rsidR="009D41D0" w:rsidRPr="009325D3" w:rsidRDefault="009D41D0" w:rsidP="009D41D0">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62966527"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3EB36E9F"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04A7A15B"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2DE5E080" w14:textId="77777777" w:rsidR="009D41D0" w:rsidRPr="009325D3" w:rsidRDefault="009D41D0" w:rsidP="009D41D0">
      <w:pPr>
        <w:pStyle w:val="Sansinterligne"/>
        <w:jc w:val="both"/>
        <w:rPr>
          <w:rFonts w:ascii="Calibri" w:hAnsi="Calibri" w:cs="Calibri"/>
        </w:rPr>
      </w:pPr>
    </w:p>
    <w:p w14:paraId="66E24A11" w14:textId="77777777" w:rsidR="009D41D0" w:rsidRPr="009325D3" w:rsidRDefault="009D41D0" w:rsidP="009D41D0">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12405787" w14:textId="77777777" w:rsidR="009D41D0" w:rsidRPr="009325D3" w:rsidRDefault="009D41D0" w:rsidP="009D41D0">
      <w:pPr>
        <w:pStyle w:val="Sansinterligne"/>
        <w:jc w:val="both"/>
        <w:rPr>
          <w:rFonts w:ascii="Calibri" w:hAnsi="Calibri" w:cs="Calibri"/>
        </w:rPr>
      </w:pPr>
    </w:p>
    <w:p w14:paraId="496A985B"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Personnels dédiés à l’opération</w:t>
      </w:r>
    </w:p>
    <w:p w14:paraId="1963AB62" w14:textId="77777777" w:rsidR="009D41D0" w:rsidRDefault="009D41D0" w:rsidP="009D41D0">
      <w:pPr>
        <w:pStyle w:val="Sansinterligne"/>
        <w:numPr>
          <w:ilvl w:val="0"/>
          <w:numId w:val="1"/>
        </w:numPr>
        <w:jc w:val="both"/>
        <w:rPr>
          <w:rFonts w:ascii="Calibri" w:hAnsi="Calibri" w:cs="Calibri"/>
        </w:rPr>
      </w:pPr>
      <w:r w:rsidRPr="009325D3">
        <w:rPr>
          <w:rFonts w:ascii="Calibri" w:hAnsi="Calibri" w:cs="Calibri"/>
        </w:rPr>
        <w:t>Prestations externes</w:t>
      </w:r>
      <w:r>
        <w:rPr>
          <w:rFonts w:ascii="Calibri" w:hAnsi="Calibri" w:cs="Calibri"/>
        </w:rPr>
        <w:t xml:space="preserve"> (dont ingénierie de formation)</w:t>
      </w:r>
    </w:p>
    <w:p w14:paraId="1FB29DA7" w14:textId="77777777" w:rsidR="009D41D0" w:rsidRPr="009325D3" w:rsidRDefault="009D41D0" w:rsidP="009D41D0">
      <w:pPr>
        <w:pStyle w:val="Sansinterligne"/>
        <w:numPr>
          <w:ilvl w:val="0"/>
          <w:numId w:val="1"/>
        </w:numPr>
        <w:jc w:val="both"/>
        <w:rPr>
          <w:rFonts w:ascii="Calibri" w:hAnsi="Calibri" w:cs="Calibri"/>
        </w:rPr>
      </w:pPr>
      <w:r>
        <w:rPr>
          <w:rFonts w:ascii="Calibri" w:hAnsi="Calibri" w:cs="Calibri"/>
        </w:rPr>
        <w:t>Fonctionnement (coûts dédiés à l’opération : consommables, matières premières…)</w:t>
      </w:r>
    </w:p>
    <w:p w14:paraId="2256DB59"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Communication de l’opération</w:t>
      </w:r>
    </w:p>
    <w:p w14:paraId="7929AA56" w14:textId="77777777" w:rsidR="009D41D0" w:rsidRPr="009325D3" w:rsidRDefault="009D41D0" w:rsidP="009D41D0">
      <w:pPr>
        <w:pStyle w:val="Sansinterligne"/>
        <w:numPr>
          <w:ilvl w:val="0"/>
          <w:numId w:val="1"/>
        </w:numPr>
        <w:rPr>
          <w:rFonts w:ascii="Calibri" w:hAnsi="Calibri" w:cs="Calibri"/>
        </w:rPr>
      </w:pPr>
      <w:r w:rsidRPr="009325D3">
        <w:rPr>
          <w:rFonts w:ascii="Calibri" w:hAnsi="Calibri" w:cs="Calibri"/>
        </w:rPr>
        <w:t>Coûts indirects (non pris en compte en dépenses directes) mise en œuvre via des options de coûts simplifiés</w:t>
      </w:r>
    </w:p>
    <w:p w14:paraId="4E78B09C" w14:textId="77777777" w:rsidR="009D41D0" w:rsidRDefault="009D41D0" w:rsidP="009D41D0">
      <w:pPr>
        <w:pStyle w:val="Sansinterligne"/>
        <w:jc w:val="both"/>
        <w:rPr>
          <w:rFonts w:ascii="Calibri" w:hAnsi="Calibri" w:cs="Calibri"/>
        </w:rPr>
      </w:pPr>
    </w:p>
    <w:p w14:paraId="071C24D2" w14:textId="77777777" w:rsidR="009D41D0" w:rsidRDefault="009D41D0" w:rsidP="009D41D0">
      <w:pPr>
        <w:pStyle w:val="Sansinterligne"/>
        <w:jc w:val="both"/>
        <w:rPr>
          <w:rFonts w:ascii="Calibri" w:hAnsi="Calibri" w:cs="Calibri"/>
        </w:rPr>
      </w:pPr>
      <w:r>
        <w:rPr>
          <w:rFonts w:ascii="Calibri" w:hAnsi="Calibri" w:cs="Calibri"/>
        </w:rPr>
        <w:t>Les actions de formation ne sont pas éligibles</w:t>
      </w:r>
    </w:p>
    <w:p w14:paraId="5DBD3F17" w14:textId="77777777" w:rsidR="009D41D0" w:rsidRPr="009325D3" w:rsidRDefault="009D41D0" w:rsidP="009D41D0">
      <w:pPr>
        <w:pStyle w:val="Sansinterligne"/>
        <w:jc w:val="both"/>
        <w:rPr>
          <w:rFonts w:ascii="Calibri" w:hAnsi="Calibri" w:cs="Calibri"/>
        </w:rPr>
      </w:pPr>
    </w:p>
    <w:p w14:paraId="402A350A" w14:textId="77777777" w:rsidR="009D41D0" w:rsidRPr="009325D3" w:rsidRDefault="009D41D0" w:rsidP="009D41D0">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2E4198C0" w14:textId="77777777" w:rsidR="009D41D0" w:rsidRPr="009325D3" w:rsidRDefault="009D41D0" w:rsidP="009D41D0">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9D41D0" w:rsidRPr="009325D3" w14:paraId="1436C100" w14:textId="77777777" w:rsidTr="000B288C">
        <w:tc>
          <w:tcPr>
            <w:tcW w:w="785" w:type="dxa"/>
            <w:gridSpan w:val="2"/>
            <w:tcBorders>
              <w:top w:val="nil"/>
              <w:left w:val="nil"/>
              <w:right w:val="nil"/>
            </w:tcBorders>
          </w:tcPr>
          <w:p w14:paraId="258DC89B" w14:textId="77777777" w:rsidR="009D41D0" w:rsidRPr="009325D3" w:rsidRDefault="009D41D0" w:rsidP="000B288C">
            <w:pPr>
              <w:pStyle w:val="Sansinterligne"/>
              <w:jc w:val="both"/>
              <w:rPr>
                <w:rFonts w:ascii="Calibri" w:hAnsi="Calibri" w:cs="Calibri"/>
              </w:rPr>
            </w:pPr>
          </w:p>
        </w:tc>
        <w:tc>
          <w:tcPr>
            <w:tcW w:w="8287" w:type="dxa"/>
            <w:tcBorders>
              <w:top w:val="nil"/>
              <w:left w:val="nil"/>
            </w:tcBorders>
            <w:vAlign w:val="center"/>
          </w:tcPr>
          <w:p w14:paraId="4B55A764" w14:textId="77777777" w:rsidR="009D41D0" w:rsidRPr="009325D3" w:rsidRDefault="009D41D0" w:rsidP="000B288C">
            <w:pPr>
              <w:pStyle w:val="Sansinterligne"/>
              <w:rPr>
                <w:rFonts w:ascii="Calibri" w:hAnsi="Calibri" w:cs="Calibri"/>
                <w:b/>
                <w:bCs/>
                <w:color w:val="002060"/>
              </w:rPr>
            </w:pPr>
          </w:p>
        </w:tc>
        <w:tc>
          <w:tcPr>
            <w:tcW w:w="1423" w:type="dxa"/>
            <w:tcBorders>
              <w:left w:val="nil"/>
            </w:tcBorders>
            <w:vAlign w:val="center"/>
          </w:tcPr>
          <w:p w14:paraId="3003934D" w14:textId="77777777" w:rsidR="009D41D0" w:rsidRPr="009325D3" w:rsidRDefault="009D41D0"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9D41D0" w:rsidRPr="009325D3" w14:paraId="4314A71A" w14:textId="77777777" w:rsidTr="000B288C">
        <w:tc>
          <w:tcPr>
            <w:tcW w:w="9072" w:type="dxa"/>
            <w:gridSpan w:val="3"/>
            <w:vAlign w:val="center"/>
          </w:tcPr>
          <w:p w14:paraId="1396D02E" w14:textId="77777777" w:rsidR="009D41D0" w:rsidRPr="009325D3" w:rsidRDefault="009D41D0"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1BBD2A83" w14:textId="77777777" w:rsidR="009D41D0" w:rsidRPr="009325D3" w:rsidRDefault="009D41D0"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0ACAAEFA" wp14:editId="1CA7512A">
                  <wp:extent cx="262393" cy="262393"/>
                  <wp:effectExtent l="0" t="0" r="4445" b="4445"/>
                  <wp:docPr id="488" name="Picture 48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9D41D0" w:rsidRPr="009325D3" w14:paraId="39FF83B1" w14:textId="77777777" w:rsidTr="000B288C">
        <w:tc>
          <w:tcPr>
            <w:tcW w:w="284" w:type="dxa"/>
            <w:tcBorders>
              <w:right w:val="nil"/>
            </w:tcBorders>
          </w:tcPr>
          <w:p w14:paraId="0A5B5D2D" w14:textId="77777777" w:rsidR="009D41D0" w:rsidRPr="009325D3" w:rsidRDefault="009D41D0" w:rsidP="000B288C">
            <w:pPr>
              <w:pStyle w:val="Sansinterligne"/>
              <w:jc w:val="both"/>
              <w:rPr>
                <w:rFonts w:ascii="Calibri" w:hAnsi="Calibri" w:cs="Calibri"/>
              </w:rPr>
            </w:pPr>
          </w:p>
        </w:tc>
        <w:tc>
          <w:tcPr>
            <w:tcW w:w="8788" w:type="dxa"/>
            <w:gridSpan w:val="2"/>
            <w:tcBorders>
              <w:left w:val="nil"/>
            </w:tcBorders>
            <w:vAlign w:val="center"/>
          </w:tcPr>
          <w:p w14:paraId="6E123AD2" w14:textId="77777777" w:rsidR="009D41D0" w:rsidRPr="009325D3" w:rsidRDefault="009D41D0"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4C678253" w14:textId="77777777" w:rsidR="009D41D0" w:rsidRPr="009325D3" w:rsidRDefault="009D41D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9E16F67" wp14:editId="387BB6A2">
                  <wp:extent cx="262393" cy="262393"/>
                  <wp:effectExtent l="0" t="0" r="4445" b="4445"/>
                  <wp:docPr id="489" name="Picture 48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9D41D0" w:rsidRPr="009325D3" w14:paraId="7C46E596" w14:textId="77777777" w:rsidTr="000B288C">
        <w:tc>
          <w:tcPr>
            <w:tcW w:w="284" w:type="dxa"/>
            <w:tcBorders>
              <w:right w:val="nil"/>
            </w:tcBorders>
          </w:tcPr>
          <w:p w14:paraId="1A6BF977" w14:textId="77777777" w:rsidR="009D41D0" w:rsidRPr="009325D3" w:rsidRDefault="009D41D0" w:rsidP="000B288C">
            <w:pPr>
              <w:pStyle w:val="Sansinterligne"/>
              <w:jc w:val="both"/>
              <w:rPr>
                <w:rFonts w:ascii="Calibri" w:hAnsi="Calibri" w:cs="Calibri"/>
              </w:rPr>
            </w:pPr>
          </w:p>
        </w:tc>
        <w:tc>
          <w:tcPr>
            <w:tcW w:w="8788" w:type="dxa"/>
            <w:gridSpan w:val="2"/>
            <w:tcBorders>
              <w:left w:val="nil"/>
            </w:tcBorders>
            <w:vAlign w:val="center"/>
          </w:tcPr>
          <w:p w14:paraId="3B4E0DBE" w14:textId="77777777" w:rsidR="009D41D0" w:rsidRPr="009325D3" w:rsidRDefault="009D41D0"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3C71FEC0" w14:textId="77777777" w:rsidR="009D41D0" w:rsidRPr="009325D3" w:rsidRDefault="009D41D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D1A341F" wp14:editId="714E9034">
                  <wp:extent cx="262393" cy="262393"/>
                  <wp:effectExtent l="0" t="0" r="4445" b="4445"/>
                  <wp:docPr id="490" name="Picture 49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9D41D0" w:rsidRPr="009325D3" w14:paraId="1F8253E9" w14:textId="77777777" w:rsidTr="000B288C">
        <w:tc>
          <w:tcPr>
            <w:tcW w:w="284" w:type="dxa"/>
            <w:tcBorders>
              <w:right w:val="nil"/>
            </w:tcBorders>
          </w:tcPr>
          <w:p w14:paraId="46E2A387" w14:textId="77777777" w:rsidR="009D41D0" w:rsidRPr="009325D3" w:rsidRDefault="009D41D0" w:rsidP="000B288C">
            <w:pPr>
              <w:pStyle w:val="Sansinterligne"/>
              <w:jc w:val="both"/>
              <w:rPr>
                <w:rFonts w:ascii="Calibri" w:hAnsi="Calibri" w:cs="Calibri"/>
              </w:rPr>
            </w:pPr>
          </w:p>
        </w:tc>
        <w:tc>
          <w:tcPr>
            <w:tcW w:w="8788" w:type="dxa"/>
            <w:gridSpan w:val="2"/>
            <w:tcBorders>
              <w:left w:val="nil"/>
            </w:tcBorders>
            <w:vAlign w:val="center"/>
          </w:tcPr>
          <w:p w14:paraId="7FA84B94" w14:textId="77777777" w:rsidR="009D41D0" w:rsidRPr="009325D3" w:rsidRDefault="009D41D0"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76686F4A" w14:textId="77777777" w:rsidR="009D41D0" w:rsidRPr="009325D3" w:rsidRDefault="009D41D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DFF2056" wp14:editId="6F887069">
                  <wp:extent cx="262393" cy="262393"/>
                  <wp:effectExtent l="0" t="0" r="4445" b="4445"/>
                  <wp:docPr id="491" name="Picture 49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9D41D0" w:rsidRPr="009325D3" w14:paraId="098F0FB8" w14:textId="77777777" w:rsidTr="000B288C">
        <w:tc>
          <w:tcPr>
            <w:tcW w:w="284" w:type="dxa"/>
            <w:tcBorders>
              <w:right w:val="nil"/>
            </w:tcBorders>
          </w:tcPr>
          <w:p w14:paraId="65D9C604" w14:textId="77777777" w:rsidR="009D41D0" w:rsidRPr="009325D3" w:rsidRDefault="009D41D0" w:rsidP="000B288C">
            <w:pPr>
              <w:pStyle w:val="Sansinterligne"/>
              <w:jc w:val="both"/>
              <w:rPr>
                <w:rFonts w:ascii="Calibri" w:hAnsi="Calibri" w:cs="Calibri"/>
              </w:rPr>
            </w:pPr>
          </w:p>
        </w:tc>
        <w:tc>
          <w:tcPr>
            <w:tcW w:w="8788" w:type="dxa"/>
            <w:gridSpan w:val="2"/>
            <w:tcBorders>
              <w:left w:val="nil"/>
            </w:tcBorders>
            <w:vAlign w:val="center"/>
          </w:tcPr>
          <w:p w14:paraId="6E8E8661" w14:textId="77777777" w:rsidR="009D41D0" w:rsidRPr="009325D3" w:rsidRDefault="009D41D0"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6CC62BE6" w14:textId="77777777" w:rsidR="009D41D0" w:rsidRPr="009325D3" w:rsidRDefault="009D41D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04D5F02" wp14:editId="1342BB1A">
                  <wp:extent cx="262393" cy="262393"/>
                  <wp:effectExtent l="0" t="0" r="4445" b="4445"/>
                  <wp:docPr id="492" name="Picture 49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9D41D0" w:rsidRPr="009325D3" w14:paraId="7DCB2C98" w14:textId="77777777" w:rsidTr="000B288C">
        <w:tc>
          <w:tcPr>
            <w:tcW w:w="284" w:type="dxa"/>
            <w:tcBorders>
              <w:right w:val="nil"/>
            </w:tcBorders>
          </w:tcPr>
          <w:p w14:paraId="505AAE61" w14:textId="77777777" w:rsidR="009D41D0" w:rsidRPr="009325D3" w:rsidRDefault="009D41D0" w:rsidP="000B288C">
            <w:pPr>
              <w:pStyle w:val="Sansinterligne"/>
              <w:jc w:val="both"/>
              <w:rPr>
                <w:rFonts w:ascii="Calibri" w:hAnsi="Calibri" w:cs="Calibri"/>
              </w:rPr>
            </w:pPr>
          </w:p>
        </w:tc>
        <w:tc>
          <w:tcPr>
            <w:tcW w:w="8788" w:type="dxa"/>
            <w:gridSpan w:val="2"/>
            <w:tcBorders>
              <w:left w:val="nil"/>
            </w:tcBorders>
            <w:vAlign w:val="center"/>
          </w:tcPr>
          <w:p w14:paraId="41E0A358" w14:textId="77777777" w:rsidR="009D41D0" w:rsidRPr="009325D3" w:rsidRDefault="009D41D0"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61E73438" w14:textId="77777777" w:rsidR="009D41D0" w:rsidRPr="009325D3" w:rsidRDefault="009D41D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2109317" wp14:editId="50E78723">
                  <wp:extent cx="262393" cy="262393"/>
                  <wp:effectExtent l="0" t="0" r="4445" b="4445"/>
                  <wp:docPr id="493" name="Picture 49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9D41D0" w:rsidRPr="009325D3" w14:paraId="29090AA6" w14:textId="77777777" w:rsidTr="000B288C">
        <w:tc>
          <w:tcPr>
            <w:tcW w:w="9072" w:type="dxa"/>
            <w:gridSpan w:val="3"/>
            <w:vAlign w:val="center"/>
          </w:tcPr>
          <w:p w14:paraId="767AC4C4" w14:textId="77777777" w:rsidR="009D41D0" w:rsidRPr="009325D3" w:rsidRDefault="009D41D0"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5EDB95A7" w14:textId="77777777" w:rsidR="009D41D0" w:rsidRPr="009325D3" w:rsidRDefault="009D41D0"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5D3822E1" wp14:editId="4D9F086D">
                  <wp:extent cx="230588" cy="230588"/>
                  <wp:effectExtent l="0" t="0" r="0" b="0"/>
                  <wp:docPr id="494" name="Picture 49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9D41D0" w:rsidRPr="009325D3" w14:paraId="150C0BE1" w14:textId="77777777" w:rsidTr="000B288C">
        <w:tc>
          <w:tcPr>
            <w:tcW w:w="9072" w:type="dxa"/>
            <w:gridSpan w:val="3"/>
            <w:vAlign w:val="center"/>
          </w:tcPr>
          <w:p w14:paraId="5AEA5A1F" w14:textId="77777777" w:rsidR="009D41D0" w:rsidRPr="009325D3" w:rsidRDefault="009D41D0"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6B902C9A" w14:textId="77777777" w:rsidR="009D41D0" w:rsidRPr="009325D3" w:rsidRDefault="009D41D0"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69130CA5" wp14:editId="1AD907FC">
                  <wp:extent cx="246490" cy="246490"/>
                  <wp:effectExtent l="0" t="0" r="1270" b="1270"/>
                  <wp:docPr id="495" name="Picture 49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bl>
    <w:p w14:paraId="63E83490" w14:textId="6BA86F83" w:rsidR="009D41D0" w:rsidRPr="009D41D0" w:rsidRDefault="009D41D0" w:rsidP="009D41D0">
      <w:pPr>
        <w:spacing w:after="160" w:line="259" w:lineRule="auto"/>
        <w:jc w:val="left"/>
        <w:rPr>
          <w:rFonts w:ascii="Calibri" w:hAnsi="Calibri" w:cs="Calibri"/>
          <w:sz w:val="22"/>
        </w:rPr>
      </w:pPr>
    </w:p>
    <w:p w14:paraId="5E357418" w14:textId="77777777" w:rsidR="009D41D0" w:rsidRPr="009325D3" w:rsidRDefault="009D41D0" w:rsidP="009D41D0">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lastRenderedPageBreak/>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43B3A4B8" w14:textId="77777777" w:rsidR="009D41D0" w:rsidRPr="009325D3" w:rsidRDefault="009D41D0" w:rsidP="009D41D0">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9D41D0" w:rsidRPr="009325D3" w14:paraId="11DEB65B" w14:textId="77777777" w:rsidTr="000B288C">
        <w:trPr>
          <w:trHeight w:val="2241"/>
        </w:trPr>
        <w:tc>
          <w:tcPr>
            <w:tcW w:w="3697" w:type="dxa"/>
            <w:vAlign w:val="center"/>
          </w:tcPr>
          <w:p w14:paraId="5DC3052D" w14:textId="77777777" w:rsidR="009D41D0" w:rsidRPr="009325D3" w:rsidRDefault="009D41D0"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1DAA837D" w14:textId="77777777" w:rsidR="009D41D0" w:rsidRPr="009325D3" w:rsidRDefault="009D41D0" w:rsidP="000B288C">
            <w:pPr>
              <w:pStyle w:val="Sansinterligne"/>
              <w:jc w:val="center"/>
              <w:rPr>
                <w:rFonts w:ascii="Calibri" w:hAnsi="Calibri" w:cs="Calibri"/>
              </w:rPr>
            </w:pPr>
            <w:r w:rsidRPr="009325D3">
              <w:rPr>
                <w:rFonts w:ascii="Calibri" w:hAnsi="Calibri" w:cs="Calibri"/>
                <w:sz w:val="20"/>
                <w:szCs w:val="20"/>
              </w:rPr>
              <w:t>(sous réserve de la règlementation en matière d’aide d’Etat)</w:t>
            </w:r>
          </w:p>
        </w:tc>
        <w:tc>
          <w:tcPr>
            <w:tcW w:w="711" w:type="dxa"/>
            <w:vAlign w:val="center"/>
          </w:tcPr>
          <w:p w14:paraId="31831AB8" w14:textId="77777777" w:rsidR="009D41D0" w:rsidRPr="009325D3" w:rsidRDefault="009D41D0"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0DA4C330" w14:textId="77777777" w:rsidR="009D41D0" w:rsidRPr="009325D3" w:rsidRDefault="009D41D0" w:rsidP="000B288C">
            <w:pPr>
              <w:pStyle w:val="Sansinterligne"/>
              <w:rPr>
                <w:rFonts w:ascii="Calibri" w:hAnsi="Calibri" w:cs="Calibri"/>
                <w:b/>
                <w:bCs/>
              </w:rPr>
            </w:pPr>
            <w:r w:rsidRPr="009325D3">
              <w:rPr>
                <w:rFonts w:ascii="Calibri" w:hAnsi="Calibri" w:cs="Calibri"/>
                <w:b/>
                <w:bCs/>
              </w:rPr>
              <w:t xml:space="preserve">Régimes d’aides applicables : </w:t>
            </w:r>
          </w:p>
          <w:p w14:paraId="04E0C0B6" w14:textId="77777777" w:rsidR="009D41D0" w:rsidRPr="009325D3" w:rsidRDefault="009D41D0"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3D4DC967" w14:textId="77777777" w:rsidR="009D41D0" w:rsidRPr="009325D3" w:rsidRDefault="009D41D0"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6C34529A" w14:textId="77777777" w:rsidR="009D41D0" w:rsidRPr="009325D3" w:rsidRDefault="009D41D0"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2E51C426" w14:textId="77777777" w:rsidR="009D41D0" w:rsidRPr="009325D3" w:rsidRDefault="009D41D0"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9D41D0" w:rsidRPr="009325D3" w14:paraId="4D4808AE" w14:textId="77777777" w:rsidTr="000B288C">
        <w:trPr>
          <w:trHeight w:val="780"/>
        </w:trPr>
        <w:tc>
          <w:tcPr>
            <w:tcW w:w="4408" w:type="dxa"/>
            <w:gridSpan w:val="2"/>
            <w:vAlign w:val="center"/>
          </w:tcPr>
          <w:p w14:paraId="28067EA7" w14:textId="77777777" w:rsidR="009D41D0" w:rsidRPr="009325D3" w:rsidRDefault="009D41D0"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7" w:type="dxa"/>
            <w:vAlign w:val="center"/>
          </w:tcPr>
          <w:p w14:paraId="1C358BFC" w14:textId="77777777" w:rsidR="009D41D0" w:rsidRPr="009325D3" w:rsidRDefault="009D41D0" w:rsidP="000B288C">
            <w:pPr>
              <w:pStyle w:val="Sansinterligne"/>
              <w:rPr>
                <w:rFonts w:ascii="Calibri" w:hAnsi="Calibri" w:cs="Calibri"/>
                <w:b/>
                <w:bCs/>
              </w:rPr>
            </w:pPr>
            <w:r w:rsidRPr="009325D3">
              <w:rPr>
                <w:rFonts w:ascii="Calibri" w:hAnsi="Calibri" w:cs="Calibri"/>
                <w:b/>
                <w:bCs/>
              </w:rPr>
              <w:t>Minimum : 50 000 € par projet</w:t>
            </w:r>
          </w:p>
        </w:tc>
      </w:tr>
    </w:tbl>
    <w:p w14:paraId="5F81D5A6" w14:textId="77777777" w:rsidR="009D41D0" w:rsidRPr="009325D3" w:rsidRDefault="009D41D0" w:rsidP="009D41D0">
      <w:pPr>
        <w:pStyle w:val="Sansinterligne"/>
        <w:jc w:val="both"/>
        <w:rPr>
          <w:rFonts w:ascii="Calibri" w:hAnsi="Calibri" w:cs="Calibri"/>
        </w:rPr>
      </w:pPr>
    </w:p>
    <w:p w14:paraId="12EE245D" w14:textId="77777777" w:rsidR="009D41D0" w:rsidRPr="009325D3" w:rsidRDefault="009D41D0" w:rsidP="009D41D0">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54F5BC35" w14:textId="77777777" w:rsidR="009D41D0" w:rsidRPr="009325D3" w:rsidRDefault="009D41D0" w:rsidP="009D41D0">
      <w:pPr>
        <w:pStyle w:val="Sansinterligne"/>
        <w:ind w:left="720"/>
        <w:jc w:val="both"/>
        <w:rPr>
          <w:rFonts w:ascii="Calibri" w:hAnsi="Calibri" w:cs="Calibri"/>
        </w:rPr>
      </w:pPr>
    </w:p>
    <w:p w14:paraId="72420E79"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Etat</w:t>
      </w:r>
    </w:p>
    <w:p w14:paraId="6B323443"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Région</w:t>
      </w:r>
    </w:p>
    <w:p w14:paraId="000BD55F"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610547B2" w14:textId="77777777" w:rsidR="009D41D0" w:rsidRPr="009325D3" w:rsidRDefault="009D41D0" w:rsidP="009D41D0">
      <w:pPr>
        <w:pStyle w:val="Sansinterligne"/>
        <w:jc w:val="both"/>
        <w:rPr>
          <w:rFonts w:ascii="Calibri" w:hAnsi="Calibri" w:cs="Calibri"/>
        </w:rPr>
      </w:pPr>
    </w:p>
    <w:p w14:paraId="229C5B9F" w14:textId="77777777" w:rsidR="009D41D0" w:rsidRPr="009325D3" w:rsidRDefault="009D41D0" w:rsidP="009D41D0">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 de réalisation et de résultat</w:t>
      </w:r>
    </w:p>
    <w:p w14:paraId="6373AFB6" w14:textId="77777777" w:rsidR="009D41D0" w:rsidRPr="009325D3" w:rsidRDefault="009D41D0" w:rsidP="009D41D0">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25"/>
        <w:gridCol w:w="822"/>
        <w:gridCol w:w="4016"/>
        <w:gridCol w:w="1118"/>
        <w:gridCol w:w="1118"/>
        <w:gridCol w:w="2286"/>
      </w:tblGrid>
      <w:tr w:rsidR="009D41D0" w:rsidRPr="009325D3" w14:paraId="4219FD44" w14:textId="77777777" w:rsidTr="000B288C">
        <w:trPr>
          <w:trHeight w:val="391"/>
        </w:trPr>
        <w:tc>
          <w:tcPr>
            <w:tcW w:w="11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28C7DC" w14:textId="77777777" w:rsidR="009D41D0" w:rsidRPr="009325D3" w:rsidRDefault="009D41D0"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7F882E97" w14:textId="77777777" w:rsidR="009D41D0" w:rsidRPr="009325D3" w:rsidRDefault="009D41D0"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16" w:type="dxa"/>
            <w:tcBorders>
              <w:top w:val="single" w:sz="4" w:space="0" w:color="auto"/>
              <w:left w:val="nil"/>
              <w:bottom w:val="single" w:sz="4" w:space="0" w:color="auto"/>
              <w:right w:val="single" w:sz="4" w:space="0" w:color="auto"/>
            </w:tcBorders>
            <w:shd w:val="clear" w:color="000000" w:fill="D9D9D9"/>
            <w:vAlign w:val="center"/>
            <w:hideMark/>
          </w:tcPr>
          <w:p w14:paraId="267057BC" w14:textId="77777777" w:rsidR="009D41D0" w:rsidRPr="009325D3" w:rsidRDefault="009D41D0"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18" w:type="dxa"/>
            <w:tcBorders>
              <w:top w:val="single" w:sz="4" w:space="0" w:color="auto"/>
              <w:left w:val="nil"/>
              <w:bottom w:val="single" w:sz="4" w:space="0" w:color="auto"/>
              <w:right w:val="single" w:sz="4" w:space="0" w:color="auto"/>
            </w:tcBorders>
            <w:shd w:val="clear" w:color="000000" w:fill="DDEBF7"/>
            <w:vAlign w:val="center"/>
            <w:hideMark/>
          </w:tcPr>
          <w:p w14:paraId="3EE28AF5" w14:textId="77777777" w:rsidR="009D41D0" w:rsidRPr="009325D3" w:rsidRDefault="009D41D0"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18" w:type="dxa"/>
            <w:tcBorders>
              <w:top w:val="single" w:sz="4" w:space="0" w:color="auto"/>
              <w:left w:val="nil"/>
              <w:bottom w:val="single" w:sz="4" w:space="0" w:color="auto"/>
              <w:right w:val="single" w:sz="4" w:space="0" w:color="auto"/>
            </w:tcBorders>
            <w:shd w:val="clear" w:color="000000" w:fill="DDEBF7"/>
            <w:vAlign w:val="center"/>
            <w:hideMark/>
          </w:tcPr>
          <w:p w14:paraId="13F9B3AC" w14:textId="77777777" w:rsidR="009D41D0" w:rsidRPr="009325D3" w:rsidRDefault="009D41D0"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86" w:type="dxa"/>
            <w:tcBorders>
              <w:top w:val="single" w:sz="4" w:space="0" w:color="auto"/>
              <w:left w:val="nil"/>
              <w:bottom w:val="single" w:sz="4" w:space="0" w:color="auto"/>
              <w:right w:val="single" w:sz="4" w:space="0" w:color="auto"/>
            </w:tcBorders>
            <w:shd w:val="clear" w:color="000000" w:fill="FFFF00"/>
            <w:vAlign w:val="center"/>
            <w:hideMark/>
          </w:tcPr>
          <w:p w14:paraId="6D6E78B7" w14:textId="77777777" w:rsidR="009D41D0" w:rsidRPr="009325D3" w:rsidRDefault="009D41D0"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9D41D0" w:rsidRPr="009325D3" w14:paraId="3236601D" w14:textId="77777777" w:rsidTr="000B288C">
        <w:trPr>
          <w:trHeight w:val="802"/>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7A15EC0C" w14:textId="77777777" w:rsidR="009D41D0" w:rsidRPr="009325D3" w:rsidRDefault="009D41D0"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360D7A1A" w14:textId="77777777" w:rsidR="009D41D0" w:rsidRPr="009325D3" w:rsidRDefault="009D41D0"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RCO16</w:t>
            </w:r>
          </w:p>
        </w:tc>
        <w:tc>
          <w:tcPr>
            <w:tcW w:w="4016" w:type="dxa"/>
            <w:tcBorders>
              <w:top w:val="nil"/>
              <w:left w:val="nil"/>
              <w:bottom w:val="single" w:sz="4" w:space="0" w:color="auto"/>
              <w:right w:val="single" w:sz="4" w:space="0" w:color="auto"/>
            </w:tcBorders>
            <w:shd w:val="clear" w:color="000000" w:fill="FFFFFF"/>
            <w:vAlign w:val="center"/>
            <w:hideMark/>
          </w:tcPr>
          <w:p w14:paraId="3E120718" w14:textId="77777777" w:rsidR="009D41D0" w:rsidRPr="009325D3" w:rsidRDefault="009D41D0"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Participations d’acteurs institutionnels à un processus de découverte entrepreneuriale</w:t>
            </w:r>
          </w:p>
        </w:tc>
        <w:tc>
          <w:tcPr>
            <w:tcW w:w="1118" w:type="dxa"/>
            <w:tcBorders>
              <w:top w:val="nil"/>
              <w:left w:val="nil"/>
              <w:bottom w:val="single" w:sz="4" w:space="0" w:color="auto"/>
              <w:right w:val="single" w:sz="4" w:space="0" w:color="auto"/>
            </w:tcBorders>
            <w:shd w:val="clear" w:color="000000" w:fill="FFFFFF"/>
            <w:vAlign w:val="center"/>
            <w:hideMark/>
          </w:tcPr>
          <w:p w14:paraId="54A700C7" w14:textId="77777777" w:rsidR="009D41D0" w:rsidRPr="009325D3" w:rsidRDefault="009D41D0"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21</w:t>
            </w:r>
          </w:p>
        </w:tc>
        <w:tc>
          <w:tcPr>
            <w:tcW w:w="1118" w:type="dxa"/>
            <w:tcBorders>
              <w:top w:val="nil"/>
              <w:left w:val="nil"/>
              <w:bottom w:val="single" w:sz="4" w:space="0" w:color="auto"/>
              <w:right w:val="single" w:sz="4" w:space="0" w:color="auto"/>
            </w:tcBorders>
            <w:shd w:val="clear" w:color="000000" w:fill="FFFFFF"/>
            <w:vAlign w:val="center"/>
            <w:hideMark/>
          </w:tcPr>
          <w:p w14:paraId="25D5C310" w14:textId="77777777" w:rsidR="009D41D0" w:rsidRPr="009325D3" w:rsidRDefault="009D41D0"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86</w:t>
            </w:r>
          </w:p>
        </w:tc>
        <w:tc>
          <w:tcPr>
            <w:tcW w:w="2286" w:type="dxa"/>
            <w:tcBorders>
              <w:top w:val="nil"/>
              <w:left w:val="nil"/>
              <w:bottom w:val="single" w:sz="4" w:space="0" w:color="auto"/>
              <w:right w:val="single" w:sz="4" w:space="0" w:color="auto"/>
            </w:tcBorders>
            <w:shd w:val="clear" w:color="000000" w:fill="FFFFFF"/>
            <w:vAlign w:val="center"/>
            <w:hideMark/>
          </w:tcPr>
          <w:p w14:paraId="14A8FE74" w14:textId="77777777" w:rsidR="009D41D0" w:rsidRPr="009325D3" w:rsidRDefault="009D41D0"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des organisations impliquées (rapports d'activité, compte-rendu, etc.)</w:t>
            </w:r>
          </w:p>
        </w:tc>
      </w:tr>
      <w:tr w:rsidR="009D41D0" w:rsidRPr="009325D3" w14:paraId="79F8D21E" w14:textId="77777777" w:rsidTr="000B288C">
        <w:trPr>
          <w:trHeight w:val="391"/>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6B12064F" w14:textId="77777777" w:rsidR="009D41D0" w:rsidRPr="009325D3" w:rsidRDefault="009D41D0"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22" w:type="dxa"/>
            <w:tcBorders>
              <w:top w:val="nil"/>
              <w:left w:val="nil"/>
              <w:bottom w:val="single" w:sz="4" w:space="0" w:color="auto"/>
              <w:right w:val="single" w:sz="4" w:space="0" w:color="auto"/>
            </w:tcBorders>
            <w:shd w:val="clear" w:color="000000" w:fill="FFFFFF"/>
            <w:vAlign w:val="center"/>
            <w:hideMark/>
          </w:tcPr>
          <w:p w14:paraId="2D88F35F" w14:textId="77777777" w:rsidR="009D41D0" w:rsidRPr="009325D3" w:rsidRDefault="009D41D0"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SR02</w:t>
            </w:r>
          </w:p>
        </w:tc>
        <w:tc>
          <w:tcPr>
            <w:tcW w:w="4016" w:type="dxa"/>
            <w:tcBorders>
              <w:top w:val="nil"/>
              <w:left w:val="nil"/>
              <w:bottom w:val="single" w:sz="4" w:space="0" w:color="auto"/>
              <w:right w:val="single" w:sz="4" w:space="0" w:color="auto"/>
            </w:tcBorders>
            <w:shd w:val="clear" w:color="000000" w:fill="FFFFFF"/>
            <w:vAlign w:val="center"/>
            <w:hideMark/>
          </w:tcPr>
          <w:p w14:paraId="79ED41EC" w14:textId="77777777" w:rsidR="009D41D0" w:rsidRPr="009325D3" w:rsidRDefault="009D41D0"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de cadres recrutés sur la thématique RDI </w:t>
            </w:r>
          </w:p>
        </w:tc>
        <w:tc>
          <w:tcPr>
            <w:tcW w:w="1118"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1E0706B4" w14:textId="77777777" w:rsidR="009D41D0" w:rsidRPr="009325D3" w:rsidRDefault="009D41D0"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118" w:type="dxa"/>
            <w:tcBorders>
              <w:top w:val="nil"/>
              <w:left w:val="nil"/>
              <w:bottom w:val="single" w:sz="4" w:space="0" w:color="auto"/>
              <w:right w:val="single" w:sz="4" w:space="0" w:color="auto"/>
            </w:tcBorders>
            <w:shd w:val="clear" w:color="000000" w:fill="FFFFFF"/>
            <w:vAlign w:val="center"/>
            <w:hideMark/>
          </w:tcPr>
          <w:p w14:paraId="0E98E68F" w14:textId="77777777" w:rsidR="009D41D0" w:rsidRPr="009325D3" w:rsidRDefault="009D41D0"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9</w:t>
            </w:r>
          </w:p>
        </w:tc>
        <w:tc>
          <w:tcPr>
            <w:tcW w:w="2286" w:type="dxa"/>
            <w:tcBorders>
              <w:top w:val="nil"/>
              <w:left w:val="nil"/>
              <w:bottom w:val="single" w:sz="4" w:space="0" w:color="auto"/>
              <w:right w:val="single" w:sz="4" w:space="0" w:color="auto"/>
            </w:tcBorders>
            <w:shd w:val="clear" w:color="000000" w:fill="FFFFFF"/>
            <w:vAlign w:val="center"/>
            <w:hideMark/>
          </w:tcPr>
          <w:p w14:paraId="1AD1B426" w14:textId="77777777" w:rsidR="009D41D0" w:rsidRPr="009325D3" w:rsidRDefault="009D41D0"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Données des questionnaires</w:t>
            </w:r>
          </w:p>
        </w:tc>
      </w:tr>
    </w:tbl>
    <w:p w14:paraId="59A1D191" w14:textId="77777777" w:rsidR="009D41D0" w:rsidRPr="009325D3" w:rsidRDefault="009D41D0" w:rsidP="009D41D0">
      <w:pPr>
        <w:pStyle w:val="Sansinterligne"/>
        <w:jc w:val="both"/>
        <w:rPr>
          <w:rFonts w:ascii="Calibri" w:hAnsi="Calibri" w:cs="Calibri"/>
        </w:rPr>
      </w:pPr>
    </w:p>
    <w:p w14:paraId="2FF18D81" w14:textId="77777777" w:rsidR="009D41D0" w:rsidRPr="009325D3" w:rsidRDefault="009D41D0" w:rsidP="009D41D0">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 financières à atteindre sur l’action</w:t>
      </w:r>
    </w:p>
    <w:p w14:paraId="60CE61EE" w14:textId="77777777" w:rsidR="009D41D0" w:rsidRPr="009325D3" w:rsidRDefault="009D41D0" w:rsidP="009D41D0">
      <w:pPr>
        <w:pStyle w:val="Sansinterligne"/>
        <w:jc w:val="both"/>
        <w:rPr>
          <w:rFonts w:ascii="Calibri" w:hAnsi="Calibri" w:cs="Calibri"/>
        </w:rPr>
      </w:pPr>
    </w:p>
    <w:p w14:paraId="688FE005" w14:textId="77777777" w:rsidR="009D41D0" w:rsidRPr="009325D3" w:rsidRDefault="009D41D0" w:rsidP="009D41D0">
      <w:pPr>
        <w:pStyle w:val="Sansinterligne"/>
        <w:jc w:val="both"/>
        <w:rPr>
          <w:rFonts w:ascii="Calibri" w:hAnsi="Calibri" w:cs="Calibri"/>
          <w:b/>
          <w:bCs/>
        </w:rPr>
      </w:pPr>
      <w:r w:rsidRPr="009325D3">
        <w:rPr>
          <w:rFonts w:ascii="Calibri" w:hAnsi="Calibri" w:cs="Calibri"/>
          <w:b/>
          <w:bCs/>
        </w:rPr>
        <w:t>3 000 000 €</w:t>
      </w:r>
    </w:p>
    <w:p w14:paraId="7292039E" w14:textId="77777777" w:rsidR="009D41D0" w:rsidRPr="009325D3" w:rsidRDefault="009D41D0" w:rsidP="009D41D0">
      <w:pPr>
        <w:pStyle w:val="Sansinterligne"/>
        <w:jc w:val="both"/>
        <w:rPr>
          <w:rFonts w:ascii="Calibri" w:hAnsi="Calibri" w:cs="Calibri"/>
        </w:rPr>
      </w:pPr>
    </w:p>
    <w:p w14:paraId="66A1C280" w14:textId="77777777" w:rsidR="009D41D0" w:rsidRPr="009325D3" w:rsidRDefault="009D41D0" w:rsidP="009D41D0">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 financiers applicables</w:t>
      </w:r>
    </w:p>
    <w:p w14:paraId="66AF9D50" w14:textId="77777777" w:rsidR="009D41D0" w:rsidRPr="009325D3" w:rsidRDefault="009D41D0" w:rsidP="009D41D0">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9D41D0" w:rsidRPr="009325D3" w14:paraId="1A74885F" w14:textId="77777777" w:rsidTr="000B288C">
        <w:tc>
          <w:tcPr>
            <w:tcW w:w="9067" w:type="dxa"/>
            <w:tcBorders>
              <w:bottom w:val="single" w:sz="4" w:space="0" w:color="auto"/>
            </w:tcBorders>
            <w:vAlign w:val="center"/>
          </w:tcPr>
          <w:p w14:paraId="7A32E6B7" w14:textId="77777777" w:rsidR="009D41D0" w:rsidRPr="009325D3" w:rsidRDefault="009D41D0" w:rsidP="000B288C">
            <w:pPr>
              <w:pStyle w:val="Sansinterligne"/>
              <w:jc w:val="center"/>
              <w:rPr>
                <w:rFonts w:ascii="Calibri" w:hAnsi="Calibri" w:cs="Calibri"/>
              </w:rPr>
            </w:pPr>
          </w:p>
        </w:tc>
        <w:tc>
          <w:tcPr>
            <w:tcW w:w="1423" w:type="dxa"/>
            <w:tcBorders>
              <w:top w:val="single" w:sz="4" w:space="0" w:color="auto"/>
            </w:tcBorders>
            <w:vAlign w:val="center"/>
          </w:tcPr>
          <w:p w14:paraId="0DCA06D3" w14:textId="77777777" w:rsidR="009D41D0" w:rsidRPr="009325D3" w:rsidRDefault="009D41D0"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9D41D0" w:rsidRPr="009325D3" w14:paraId="708AFA8C" w14:textId="77777777" w:rsidTr="000B288C">
        <w:tc>
          <w:tcPr>
            <w:tcW w:w="9067" w:type="dxa"/>
            <w:tcBorders>
              <w:top w:val="single" w:sz="4" w:space="0" w:color="auto"/>
              <w:left w:val="single" w:sz="4" w:space="0" w:color="auto"/>
            </w:tcBorders>
            <w:vAlign w:val="center"/>
          </w:tcPr>
          <w:p w14:paraId="03A07570" w14:textId="77777777" w:rsidR="009D41D0" w:rsidRPr="009325D3" w:rsidRDefault="009D41D0"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3DC603C2" w14:textId="77777777" w:rsidR="009D41D0" w:rsidRPr="009325D3" w:rsidRDefault="009D41D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314138F" wp14:editId="043F1398">
                  <wp:extent cx="262393" cy="262393"/>
                  <wp:effectExtent l="0" t="0" r="4445" b="4445"/>
                  <wp:docPr id="496" name="Picture 49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9D41D0" w:rsidRPr="009325D3" w14:paraId="2960CC55" w14:textId="77777777" w:rsidTr="000B288C">
        <w:tc>
          <w:tcPr>
            <w:tcW w:w="9067" w:type="dxa"/>
            <w:tcBorders>
              <w:top w:val="single" w:sz="4" w:space="0" w:color="auto"/>
              <w:left w:val="single" w:sz="4" w:space="0" w:color="auto"/>
            </w:tcBorders>
            <w:vAlign w:val="center"/>
          </w:tcPr>
          <w:p w14:paraId="1EBABB3B" w14:textId="77777777" w:rsidR="009D41D0" w:rsidRPr="009325D3" w:rsidRDefault="009D41D0"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7CAD8F56" w14:textId="77777777" w:rsidR="009D41D0" w:rsidRPr="009325D3" w:rsidRDefault="009D41D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2DF5C01" wp14:editId="4DD9452A">
                  <wp:extent cx="230588" cy="230588"/>
                  <wp:effectExtent l="0" t="0" r="0" b="0"/>
                  <wp:docPr id="497" name="Picture 49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9D41D0" w:rsidRPr="009325D3" w14:paraId="27523075" w14:textId="77777777" w:rsidTr="000B288C">
        <w:tc>
          <w:tcPr>
            <w:tcW w:w="9067" w:type="dxa"/>
            <w:tcBorders>
              <w:top w:val="single" w:sz="4" w:space="0" w:color="auto"/>
              <w:left w:val="single" w:sz="4" w:space="0" w:color="auto"/>
            </w:tcBorders>
            <w:vAlign w:val="center"/>
          </w:tcPr>
          <w:p w14:paraId="018B968D" w14:textId="77777777" w:rsidR="009D41D0" w:rsidRPr="009325D3" w:rsidRDefault="009D41D0"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631B3F24" w14:textId="77777777" w:rsidR="009D41D0" w:rsidRPr="009325D3" w:rsidRDefault="009D41D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33F3BF2" wp14:editId="4BEB7BAB">
                  <wp:extent cx="230588" cy="230588"/>
                  <wp:effectExtent l="0" t="0" r="0" b="0"/>
                  <wp:docPr id="498" name="Picture 49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9D41D0" w:rsidRPr="009325D3" w14:paraId="25E28DCD" w14:textId="77777777" w:rsidTr="000B288C">
        <w:tc>
          <w:tcPr>
            <w:tcW w:w="9067" w:type="dxa"/>
            <w:tcBorders>
              <w:top w:val="single" w:sz="4" w:space="0" w:color="auto"/>
              <w:left w:val="single" w:sz="4" w:space="0" w:color="auto"/>
            </w:tcBorders>
            <w:vAlign w:val="center"/>
          </w:tcPr>
          <w:p w14:paraId="1719B86C" w14:textId="77777777" w:rsidR="009D41D0" w:rsidRPr="009325D3" w:rsidRDefault="009D41D0"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50C4B863" w14:textId="77777777" w:rsidR="009D41D0" w:rsidRPr="009325D3" w:rsidRDefault="009D41D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3F43746" wp14:editId="6AF93E56">
                  <wp:extent cx="230588" cy="230588"/>
                  <wp:effectExtent l="0" t="0" r="0" b="0"/>
                  <wp:docPr id="499" name="Picture 49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9D41D0" w:rsidRPr="009325D3" w14:paraId="2C55E2EC" w14:textId="77777777" w:rsidTr="000B288C">
        <w:tc>
          <w:tcPr>
            <w:tcW w:w="9067" w:type="dxa"/>
            <w:tcBorders>
              <w:top w:val="single" w:sz="4" w:space="0" w:color="auto"/>
              <w:left w:val="single" w:sz="4" w:space="0" w:color="auto"/>
            </w:tcBorders>
            <w:vAlign w:val="center"/>
          </w:tcPr>
          <w:p w14:paraId="7F66B128" w14:textId="77777777" w:rsidR="009D41D0" w:rsidRPr="009325D3" w:rsidRDefault="009D41D0"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21A75ADF" w14:textId="77777777" w:rsidR="009D41D0" w:rsidRPr="009325D3" w:rsidRDefault="009D41D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6D95523" wp14:editId="0AA40F23">
                  <wp:extent cx="230588" cy="230588"/>
                  <wp:effectExtent l="0" t="0" r="0" b="0"/>
                  <wp:docPr id="500" name="Picture 50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9D41D0" w:rsidRPr="009325D3" w14:paraId="1D180800" w14:textId="77777777" w:rsidTr="000B288C">
        <w:tc>
          <w:tcPr>
            <w:tcW w:w="9067" w:type="dxa"/>
            <w:tcBorders>
              <w:top w:val="single" w:sz="4" w:space="0" w:color="auto"/>
              <w:left w:val="single" w:sz="4" w:space="0" w:color="auto"/>
            </w:tcBorders>
            <w:vAlign w:val="center"/>
          </w:tcPr>
          <w:p w14:paraId="75EF3D44" w14:textId="77777777" w:rsidR="009D41D0" w:rsidRPr="009325D3" w:rsidRDefault="009D41D0"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760E491E" w14:textId="77777777" w:rsidR="009D41D0" w:rsidRPr="009325D3" w:rsidRDefault="009D41D0"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2E56916" wp14:editId="45FD53BF">
                  <wp:extent cx="230588" cy="230588"/>
                  <wp:effectExtent l="0" t="0" r="0" b="0"/>
                  <wp:docPr id="501" name="Picture 50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bl>
    <w:p w14:paraId="3DF7A478" w14:textId="77777777" w:rsidR="009D41D0" w:rsidRPr="009325D3" w:rsidRDefault="009D41D0" w:rsidP="009D41D0">
      <w:pPr>
        <w:pStyle w:val="Sansinterligne"/>
        <w:jc w:val="both"/>
        <w:rPr>
          <w:rFonts w:ascii="Calibri" w:hAnsi="Calibri" w:cs="Calibri"/>
        </w:rPr>
      </w:pPr>
    </w:p>
    <w:p w14:paraId="5E0E548A" w14:textId="75218E26" w:rsidR="009D41D0" w:rsidRPr="009D41D0" w:rsidRDefault="009D41D0" w:rsidP="009D41D0">
      <w:pPr>
        <w:spacing w:after="160" w:line="259" w:lineRule="auto"/>
        <w:jc w:val="left"/>
        <w:rPr>
          <w:rFonts w:ascii="Calibri" w:hAnsi="Calibri" w:cs="Calibri"/>
          <w:sz w:val="22"/>
        </w:rPr>
      </w:pPr>
      <w:r w:rsidRPr="009325D3">
        <w:rPr>
          <w:rFonts w:ascii="Calibri" w:hAnsi="Calibri" w:cs="Calibri"/>
        </w:rPr>
        <w:br w:type="page"/>
      </w:r>
    </w:p>
    <w:p w14:paraId="66CE2D50" w14:textId="77777777" w:rsidR="009D41D0" w:rsidRPr="009325D3" w:rsidRDefault="009D41D0" w:rsidP="009D41D0">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lastRenderedPageBreak/>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0EAD4795" w14:textId="77777777" w:rsidR="009D41D0" w:rsidRPr="009325D3" w:rsidRDefault="009D41D0" w:rsidP="009D41D0">
      <w:pPr>
        <w:pStyle w:val="Sansinterligne"/>
        <w:jc w:val="both"/>
        <w:rPr>
          <w:rFonts w:ascii="Calibri" w:hAnsi="Calibri" w:cs="Calibri"/>
        </w:rPr>
      </w:pPr>
    </w:p>
    <w:p w14:paraId="289FD9B9" w14:textId="77777777" w:rsidR="009D41D0" w:rsidRPr="009325D3" w:rsidRDefault="009D41D0" w:rsidP="009D41D0">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177069B3" w14:textId="77777777" w:rsidR="009D41D0" w:rsidRPr="009325D3" w:rsidRDefault="009D41D0" w:rsidP="009D41D0">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4E93A32F"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Direction de l’Enseignement Supérieur, de la Recherche et du Transfert de Technologies (DESRTT) – Conseil régional Centre-Val de Loire</w:t>
      </w:r>
    </w:p>
    <w:p w14:paraId="10E833E5"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Direction de l’Economie (DE) – Conseil régional Centre-Val de Loire</w:t>
      </w:r>
    </w:p>
    <w:p w14:paraId="371B884C" w14:textId="77777777" w:rsidR="009D41D0" w:rsidRPr="009325D3" w:rsidRDefault="009D41D0" w:rsidP="009D41D0">
      <w:pPr>
        <w:pStyle w:val="Sansinterligne"/>
        <w:numPr>
          <w:ilvl w:val="0"/>
          <w:numId w:val="1"/>
        </w:numPr>
        <w:jc w:val="both"/>
        <w:rPr>
          <w:rFonts w:ascii="Calibri" w:hAnsi="Calibri" w:cs="Calibri"/>
        </w:rPr>
      </w:pPr>
      <w:r w:rsidRPr="009325D3">
        <w:rPr>
          <w:rFonts w:ascii="Calibri" w:hAnsi="Calibri" w:cs="Calibri"/>
        </w:rPr>
        <w:t>Délégation Régionale Académique à la Recherche et à l’Innovation (DRARI) – Etat</w:t>
      </w:r>
    </w:p>
    <w:p w14:paraId="3648969D" w14:textId="77777777" w:rsidR="009D41D0" w:rsidRPr="009325D3" w:rsidRDefault="009D41D0" w:rsidP="009D41D0">
      <w:pPr>
        <w:pStyle w:val="Sansinterligne"/>
        <w:jc w:val="both"/>
        <w:rPr>
          <w:rFonts w:ascii="Calibri" w:hAnsi="Calibri" w:cs="Calibri"/>
        </w:rPr>
      </w:pPr>
    </w:p>
    <w:p w14:paraId="19C6D80F" w14:textId="77777777" w:rsidR="009D41D0" w:rsidRPr="009325D3" w:rsidRDefault="009D41D0" w:rsidP="009D41D0">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7C5B74D0" w14:textId="77777777" w:rsidR="009D41D0" w:rsidRPr="009325D3" w:rsidRDefault="009D41D0" w:rsidP="009D41D0">
      <w:pPr>
        <w:pStyle w:val="Sansinterligne"/>
        <w:jc w:val="both"/>
        <w:rPr>
          <w:rFonts w:ascii="Calibri" w:hAnsi="Calibri" w:cs="Calibri"/>
        </w:rPr>
      </w:pPr>
    </w:p>
    <w:p w14:paraId="5B9D46B2" w14:textId="77777777" w:rsidR="009D41D0" w:rsidRPr="009325D3" w:rsidRDefault="009D41D0" w:rsidP="009D41D0">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3BAE13AD" w14:textId="77777777" w:rsidR="009D41D0" w:rsidRPr="009325D3" w:rsidRDefault="009D41D0" w:rsidP="009D41D0">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9D41D0" w:rsidRPr="009325D3" w14:paraId="55ED1E78" w14:textId="77777777" w:rsidTr="000B288C">
        <w:tc>
          <w:tcPr>
            <w:tcW w:w="3256" w:type="dxa"/>
            <w:vAlign w:val="center"/>
          </w:tcPr>
          <w:p w14:paraId="203594BD" w14:textId="77777777" w:rsidR="009D41D0" w:rsidRPr="009325D3" w:rsidRDefault="009D41D0"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4297D5AD" w14:textId="77777777" w:rsidR="009D41D0" w:rsidRPr="009325D3" w:rsidRDefault="009D41D0" w:rsidP="000B288C">
            <w:pPr>
              <w:pStyle w:val="Sansinterligne"/>
              <w:rPr>
                <w:rFonts w:ascii="Calibri" w:hAnsi="Calibri" w:cs="Calibri"/>
                <w:sz w:val="20"/>
                <w:szCs w:val="20"/>
              </w:rPr>
            </w:pPr>
            <w:r w:rsidRPr="009325D3">
              <w:rPr>
                <w:rFonts w:ascii="Calibri" w:hAnsi="Calibri" w:cs="Calibri"/>
                <w:sz w:val="20"/>
                <w:szCs w:val="20"/>
              </w:rPr>
              <w:t>023 Développement des compétences pour la spécialisation intelligente, la transition industrielle, l'esprit d'entreprise et la capacité d'adaptation des entreprises au changement</w:t>
            </w:r>
          </w:p>
        </w:tc>
      </w:tr>
      <w:tr w:rsidR="009D41D0" w:rsidRPr="009325D3" w14:paraId="2B35F919" w14:textId="77777777" w:rsidTr="000B288C">
        <w:tc>
          <w:tcPr>
            <w:tcW w:w="3256" w:type="dxa"/>
            <w:vAlign w:val="center"/>
          </w:tcPr>
          <w:p w14:paraId="04B6CC85" w14:textId="77777777" w:rsidR="009D41D0" w:rsidRPr="009325D3" w:rsidRDefault="009D41D0"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73D0C582" w14:textId="77777777" w:rsidR="009D41D0" w:rsidRPr="009325D3" w:rsidRDefault="009D41D0" w:rsidP="000B288C">
            <w:pPr>
              <w:pStyle w:val="Sansinterligne"/>
              <w:rPr>
                <w:rFonts w:ascii="Calibri" w:hAnsi="Calibri" w:cs="Calibri"/>
                <w:sz w:val="20"/>
                <w:szCs w:val="20"/>
              </w:rPr>
            </w:pPr>
            <w:r w:rsidRPr="009325D3">
              <w:rPr>
                <w:rFonts w:ascii="Calibri" w:hAnsi="Calibri" w:cs="Calibri"/>
                <w:sz w:val="20"/>
                <w:szCs w:val="20"/>
              </w:rPr>
              <w:t>01 Subvention</w:t>
            </w:r>
          </w:p>
        </w:tc>
      </w:tr>
      <w:tr w:rsidR="009D41D0" w:rsidRPr="009325D3" w14:paraId="69F8FF53" w14:textId="77777777" w:rsidTr="000B288C">
        <w:tc>
          <w:tcPr>
            <w:tcW w:w="3256" w:type="dxa"/>
            <w:vAlign w:val="center"/>
          </w:tcPr>
          <w:p w14:paraId="50A20B13" w14:textId="77777777" w:rsidR="009D41D0" w:rsidRPr="009325D3" w:rsidRDefault="009D41D0"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738FAD51" w14:textId="77777777" w:rsidR="009D41D0" w:rsidRPr="009325D3" w:rsidRDefault="009D41D0"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9D41D0" w:rsidRPr="009325D3" w14:paraId="40C9EEB3" w14:textId="77777777" w:rsidTr="000B288C">
        <w:tc>
          <w:tcPr>
            <w:tcW w:w="3256" w:type="dxa"/>
            <w:vAlign w:val="center"/>
          </w:tcPr>
          <w:p w14:paraId="1067F995" w14:textId="77777777" w:rsidR="009D41D0" w:rsidRPr="009325D3" w:rsidRDefault="009D41D0"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7FDE8837" w14:textId="77777777" w:rsidR="009D41D0" w:rsidRPr="009325D3" w:rsidRDefault="009D41D0" w:rsidP="000B288C">
            <w:pPr>
              <w:pStyle w:val="Sansinterligne"/>
              <w:rPr>
                <w:rFonts w:ascii="Calibri" w:hAnsi="Calibri" w:cs="Calibri"/>
                <w:sz w:val="20"/>
                <w:szCs w:val="20"/>
              </w:rPr>
            </w:pPr>
            <w:r w:rsidRPr="009325D3">
              <w:rPr>
                <w:rFonts w:ascii="Calibri" w:hAnsi="Calibri" w:cs="Calibri"/>
                <w:sz w:val="20"/>
                <w:szCs w:val="20"/>
              </w:rPr>
              <w:t>02 Intégration des questions d'égalité entre les hommes et les femmes</w:t>
            </w:r>
          </w:p>
          <w:p w14:paraId="171CA3F0" w14:textId="77777777" w:rsidR="009D41D0" w:rsidRPr="009325D3" w:rsidRDefault="009D41D0"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1DD731EE" w14:textId="77777777" w:rsidR="009D41D0" w:rsidRPr="009325D3" w:rsidRDefault="009D41D0" w:rsidP="009D41D0">
      <w:pPr>
        <w:pStyle w:val="Sansinterligne"/>
        <w:jc w:val="both"/>
        <w:rPr>
          <w:rFonts w:ascii="Calibri" w:hAnsi="Calibri" w:cs="Calibri"/>
        </w:rPr>
      </w:pPr>
    </w:p>
    <w:p w14:paraId="63A33653" w14:textId="77777777" w:rsidR="009D41D0" w:rsidRPr="009325D3" w:rsidRDefault="009D41D0" w:rsidP="009D41D0">
      <w:pPr>
        <w:pStyle w:val="Sansinterligne"/>
        <w:jc w:val="both"/>
        <w:rPr>
          <w:rFonts w:ascii="Calibri" w:hAnsi="Calibri" w:cs="Calibri"/>
        </w:rPr>
      </w:pPr>
    </w:p>
    <w:p w14:paraId="0767F735" w14:textId="77777777" w:rsidR="009D41D0" w:rsidRPr="009325D3" w:rsidRDefault="009D41D0" w:rsidP="009D41D0">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Service(s) en charge de l’instruction des dossiers</w:t>
      </w:r>
    </w:p>
    <w:p w14:paraId="3A8352B1" w14:textId="77777777" w:rsidR="009D41D0" w:rsidRPr="009325D3" w:rsidRDefault="009D41D0" w:rsidP="009D41D0">
      <w:pPr>
        <w:pStyle w:val="Sansinterligne"/>
        <w:jc w:val="both"/>
        <w:rPr>
          <w:rFonts w:ascii="Calibri" w:hAnsi="Calibri" w:cs="Calibri"/>
        </w:rPr>
      </w:pPr>
    </w:p>
    <w:p w14:paraId="5B08311B" w14:textId="77777777" w:rsidR="009D41D0" w:rsidRPr="009325D3" w:rsidRDefault="009D41D0" w:rsidP="009D41D0">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B0477C">
        <w:rPr>
          <w:rFonts w:ascii="Calibri" w:hAnsi="Calibri" w:cs="Calibri"/>
        </w:rPr>
        <w:t>Service Programmation des Fonds européens FEDER FSE+</w:t>
      </w:r>
    </w:p>
    <w:p w14:paraId="6450CCB9" w14:textId="77777777" w:rsidR="009D41D0" w:rsidRDefault="009D41D0" w:rsidP="009D41D0">
      <w:pPr>
        <w:pStyle w:val="Sansinterligne"/>
        <w:jc w:val="both"/>
      </w:pPr>
      <w:r>
        <w:rPr>
          <w:noProof/>
        </w:rPr>
        <w:drawing>
          <wp:inline distT="0" distB="0" distL="0" distR="0" wp14:anchorId="2282AFAA" wp14:editId="0A99C81B">
            <wp:extent cx="204826" cy="204826"/>
            <wp:effectExtent l="0" t="0" r="5080" b="5080"/>
            <wp:docPr id="784945691" name="Picture 784945691"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4826" cy="204826"/>
                    </a:xfrm>
                    <a:prstGeom prst="rect">
                      <a:avLst/>
                    </a:prstGeom>
                  </pic:spPr>
                </pic:pic>
              </a:graphicData>
            </a:graphic>
          </wp:inline>
        </w:drawing>
      </w:r>
      <w:r>
        <w:t xml:space="preserve"> : </w:t>
      </w:r>
      <w:hyperlink r:id="rId14" w:history="1">
        <w:r w:rsidRPr="00E4771E">
          <w:rPr>
            <w:rStyle w:val="Lienhypertexte"/>
          </w:rPr>
          <w:t>ext-europe@centrevaldeloire.fr</w:t>
        </w:r>
      </w:hyperlink>
    </w:p>
    <w:p w14:paraId="2C3F9E51" w14:textId="77777777" w:rsidR="00B801F8" w:rsidRDefault="00B801F8" w:rsidP="009D41D0">
      <w:pPr>
        <w:rPr>
          <w:rFonts w:ascii="Calibri" w:hAnsi="Calibri" w:cs="Calibri"/>
        </w:rPr>
      </w:pPr>
    </w:p>
    <w:sectPr w:rsidR="00B801F8" w:rsidSect="000E1C19">
      <w:pgSz w:w="11906" w:h="16838"/>
      <w:pgMar w:top="56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BC3"/>
    <w:multiLevelType w:val="hybridMultilevel"/>
    <w:tmpl w:val="B5D67F3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3B7074"/>
    <w:multiLevelType w:val="hybridMultilevel"/>
    <w:tmpl w:val="BD62D0B2"/>
    <w:lvl w:ilvl="0" w:tplc="BD420C8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A10DAD"/>
    <w:multiLevelType w:val="hybridMultilevel"/>
    <w:tmpl w:val="CCC65E0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C5BA2"/>
    <w:multiLevelType w:val="hybridMultilevel"/>
    <w:tmpl w:val="45AC4C3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60A6819"/>
    <w:multiLevelType w:val="hybridMultilevel"/>
    <w:tmpl w:val="8B8E2740"/>
    <w:lvl w:ilvl="0" w:tplc="C518DC98">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7B27424"/>
    <w:multiLevelType w:val="hybridMultilevel"/>
    <w:tmpl w:val="A35227D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FF43FA"/>
    <w:multiLevelType w:val="hybridMultilevel"/>
    <w:tmpl w:val="245E721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307984"/>
    <w:multiLevelType w:val="hybridMultilevel"/>
    <w:tmpl w:val="F03AA54A"/>
    <w:lvl w:ilvl="0" w:tplc="C3ECB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3B178F"/>
    <w:multiLevelType w:val="hybridMultilevel"/>
    <w:tmpl w:val="DBA4DA24"/>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DA1FF5"/>
    <w:multiLevelType w:val="hybridMultilevel"/>
    <w:tmpl w:val="51BAB19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F94368"/>
    <w:multiLevelType w:val="hybridMultilevel"/>
    <w:tmpl w:val="6F987CF4"/>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673CCA"/>
    <w:multiLevelType w:val="hybridMultilevel"/>
    <w:tmpl w:val="A03A7D6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FA2CEF"/>
    <w:multiLevelType w:val="hybridMultilevel"/>
    <w:tmpl w:val="00C8516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63762D"/>
    <w:multiLevelType w:val="hybridMultilevel"/>
    <w:tmpl w:val="E3FE3846"/>
    <w:lvl w:ilvl="0" w:tplc="BD420C8E">
      <w:start w:val="1"/>
      <w:numFmt w:val="bullet"/>
      <w:lvlText w:val="-"/>
      <w:lvlJc w:val="left"/>
      <w:pPr>
        <w:ind w:left="720" w:hanging="360"/>
      </w:pPr>
      <w:rPr>
        <w:rFonts w:ascii="Calibri" w:hAnsi="Calibri" w:hint="default"/>
        <w:b/>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B0431EE"/>
    <w:multiLevelType w:val="hybridMultilevel"/>
    <w:tmpl w:val="00980B24"/>
    <w:lvl w:ilvl="0" w:tplc="F4CE1A86">
      <w:numFmt w:val="bullet"/>
      <w:lvlText w:val="-"/>
      <w:lvlJc w:val="left"/>
      <w:pPr>
        <w:ind w:left="500" w:hanging="360"/>
      </w:pPr>
      <w:rPr>
        <w:rFonts w:ascii="Verdana" w:eastAsia="Tahoma" w:hAnsi="Verdana" w:cs="Tahoma" w:hint="default"/>
        <w:color w:val="231F20"/>
      </w:rPr>
    </w:lvl>
    <w:lvl w:ilvl="1" w:tplc="040C0003">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abstractNum w:abstractNumId="15" w15:restartNumberingAfterBreak="0">
    <w:nsid w:val="1D224AB4"/>
    <w:multiLevelType w:val="hybridMultilevel"/>
    <w:tmpl w:val="192AA17C"/>
    <w:lvl w:ilvl="0" w:tplc="861442CE">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1E80407C"/>
    <w:multiLevelType w:val="hybridMultilevel"/>
    <w:tmpl w:val="3A44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850BAE"/>
    <w:multiLevelType w:val="hybridMultilevel"/>
    <w:tmpl w:val="821AC78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1F7901"/>
    <w:multiLevelType w:val="multilevel"/>
    <w:tmpl w:val="B7E2C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A9265C4"/>
    <w:multiLevelType w:val="hybridMultilevel"/>
    <w:tmpl w:val="D1E01688"/>
    <w:lvl w:ilvl="0" w:tplc="C518DC98">
      <w:start w:val="1"/>
      <w:numFmt w:val="bullet"/>
      <w:lvlText w:val="-"/>
      <w:lvlJc w:val="left"/>
      <w:pPr>
        <w:ind w:left="360" w:hanging="360"/>
      </w:pPr>
      <w:rPr>
        <w:rFonts w:ascii="Calibri" w:eastAsiaTheme="minorHAnsi" w:hAnsi="Calibri" w:cs="Calibri"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4A5833"/>
    <w:multiLevelType w:val="hybridMultilevel"/>
    <w:tmpl w:val="B31A6AA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42694E"/>
    <w:multiLevelType w:val="hybridMultilevel"/>
    <w:tmpl w:val="660C5D60"/>
    <w:lvl w:ilvl="0" w:tplc="7EF267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E330F72"/>
    <w:multiLevelType w:val="hybridMultilevel"/>
    <w:tmpl w:val="7D56E9B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E884C17"/>
    <w:multiLevelType w:val="hybridMultilevel"/>
    <w:tmpl w:val="90D0FD5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856A2A"/>
    <w:multiLevelType w:val="hybridMultilevel"/>
    <w:tmpl w:val="1234D0D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3663C6"/>
    <w:multiLevelType w:val="hybridMultilevel"/>
    <w:tmpl w:val="FE34AD3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1E2E3E"/>
    <w:multiLevelType w:val="hybridMultilevel"/>
    <w:tmpl w:val="8990CD4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345087"/>
    <w:multiLevelType w:val="hybridMultilevel"/>
    <w:tmpl w:val="14FC4B0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F2389C"/>
    <w:multiLevelType w:val="hybridMultilevel"/>
    <w:tmpl w:val="EC6EE32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5273BD"/>
    <w:multiLevelType w:val="hybridMultilevel"/>
    <w:tmpl w:val="E8B61D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834557"/>
    <w:multiLevelType w:val="hybridMultilevel"/>
    <w:tmpl w:val="C584D3F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5322C9"/>
    <w:multiLevelType w:val="hybridMultilevel"/>
    <w:tmpl w:val="446C493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602F43"/>
    <w:multiLevelType w:val="hybridMultilevel"/>
    <w:tmpl w:val="CAF6C69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4D4709"/>
    <w:multiLevelType w:val="hybridMultilevel"/>
    <w:tmpl w:val="E78095E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036D7E"/>
    <w:multiLevelType w:val="hybridMultilevel"/>
    <w:tmpl w:val="AF62B8D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2653EC"/>
    <w:multiLevelType w:val="hybridMultilevel"/>
    <w:tmpl w:val="B2804E8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963DAD"/>
    <w:multiLevelType w:val="hybridMultilevel"/>
    <w:tmpl w:val="BD24C21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E20341"/>
    <w:multiLevelType w:val="hybridMultilevel"/>
    <w:tmpl w:val="82381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CF7095"/>
    <w:multiLevelType w:val="hybridMultilevel"/>
    <w:tmpl w:val="904423D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166C6F"/>
    <w:multiLevelType w:val="hybridMultilevel"/>
    <w:tmpl w:val="7CE249B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E10E8E"/>
    <w:multiLevelType w:val="hybridMultilevel"/>
    <w:tmpl w:val="2E607E2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A864D1"/>
    <w:multiLevelType w:val="hybridMultilevel"/>
    <w:tmpl w:val="DC8444A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2D6D10"/>
    <w:multiLevelType w:val="hybridMultilevel"/>
    <w:tmpl w:val="01AC71FA"/>
    <w:lvl w:ilvl="0" w:tplc="506CC8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4478928">
    <w:abstractNumId w:val="35"/>
  </w:num>
  <w:num w:numId="2" w16cid:durableId="481044813">
    <w:abstractNumId w:val="21"/>
  </w:num>
  <w:num w:numId="3" w16cid:durableId="1300260819">
    <w:abstractNumId w:val="7"/>
  </w:num>
  <w:num w:numId="4" w16cid:durableId="823811384">
    <w:abstractNumId w:val="43"/>
  </w:num>
  <w:num w:numId="5" w16cid:durableId="2056193565">
    <w:abstractNumId w:val="39"/>
  </w:num>
  <w:num w:numId="6" w16cid:durableId="1795640556">
    <w:abstractNumId w:val="11"/>
  </w:num>
  <w:num w:numId="7" w16cid:durableId="1387604372">
    <w:abstractNumId w:val="17"/>
  </w:num>
  <w:num w:numId="8" w16cid:durableId="658726438">
    <w:abstractNumId w:val="10"/>
  </w:num>
  <w:num w:numId="9" w16cid:durableId="1451976038">
    <w:abstractNumId w:val="34"/>
  </w:num>
  <w:num w:numId="10" w16cid:durableId="1500654213">
    <w:abstractNumId w:val="32"/>
  </w:num>
  <w:num w:numId="11" w16cid:durableId="624237690">
    <w:abstractNumId w:val="37"/>
  </w:num>
  <w:num w:numId="12" w16cid:durableId="2026638336">
    <w:abstractNumId w:val="28"/>
  </w:num>
  <w:num w:numId="13" w16cid:durableId="520365694">
    <w:abstractNumId w:val="23"/>
  </w:num>
  <w:num w:numId="14" w16cid:durableId="39941488">
    <w:abstractNumId w:val="1"/>
  </w:num>
  <w:num w:numId="15" w16cid:durableId="520975985">
    <w:abstractNumId w:val="41"/>
  </w:num>
  <w:num w:numId="16" w16cid:durableId="1692486884">
    <w:abstractNumId w:val="36"/>
  </w:num>
  <w:num w:numId="17" w16cid:durableId="2068331561">
    <w:abstractNumId w:val="2"/>
  </w:num>
  <w:num w:numId="18" w16cid:durableId="1032463558">
    <w:abstractNumId w:val="38"/>
  </w:num>
  <w:num w:numId="19" w16cid:durableId="1546914170">
    <w:abstractNumId w:val="13"/>
  </w:num>
  <w:num w:numId="20" w16cid:durableId="188834355">
    <w:abstractNumId w:val="8"/>
  </w:num>
  <w:num w:numId="21" w16cid:durableId="2028749553">
    <w:abstractNumId w:val="30"/>
  </w:num>
  <w:num w:numId="22" w16cid:durableId="189997213">
    <w:abstractNumId w:val="12"/>
  </w:num>
  <w:num w:numId="23" w16cid:durableId="1983729090">
    <w:abstractNumId w:val="33"/>
  </w:num>
  <w:num w:numId="24" w16cid:durableId="1646160768">
    <w:abstractNumId w:val="3"/>
  </w:num>
  <w:num w:numId="25" w16cid:durableId="1240797323">
    <w:abstractNumId w:val="22"/>
  </w:num>
  <w:num w:numId="26" w16cid:durableId="557010770">
    <w:abstractNumId w:val="16"/>
  </w:num>
  <w:num w:numId="27" w16cid:durableId="773864757">
    <w:abstractNumId w:val="19"/>
  </w:num>
  <w:num w:numId="28" w16cid:durableId="1258518222">
    <w:abstractNumId w:val="15"/>
  </w:num>
  <w:num w:numId="29" w16cid:durableId="323046648">
    <w:abstractNumId w:val="31"/>
  </w:num>
  <w:num w:numId="30" w16cid:durableId="418017704">
    <w:abstractNumId w:val="14"/>
  </w:num>
  <w:num w:numId="31" w16cid:durableId="209001598">
    <w:abstractNumId w:val="42"/>
  </w:num>
  <w:num w:numId="32" w16cid:durableId="1490823499">
    <w:abstractNumId w:val="9"/>
  </w:num>
  <w:num w:numId="33" w16cid:durableId="1670985300">
    <w:abstractNumId w:val="0"/>
  </w:num>
  <w:num w:numId="34" w16cid:durableId="1001588854">
    <w:abstractNumId w:val="40"/>
  </w:num>
  <w:num w:numId="35" w16cid:durableId="363560677">
    <w:abstractNumId w:val="25"/>
  </w:num>
  <w:num w:numId="36" w16cid:durableId="882525094">
    <w:abstractNumId w:val="24"/>
  </w:num>
  <w:num w:numId="37" w16cid:durableId="1942835810">
    <w:abstractNumId w:val="27"/>
  </w:num>
  <w:num w:numId="38" w16cid:durableId="50348889">
    <w:abstractNumId w:val="18"/>
  </w:num>
  <w:num w:numId="39" w16cid:durableId="1080368129">
    <w:abstractNumId w:val="26"/>
  </w:num>
  <w:num w:numId="40" w16cid:durableId="884485862">
    <w:abstractNumId w:val="4"/>
  </w:num>
  <w:num w:numId="41" w16cid:durableId="418019451">
    <w:abstractNumId w:val="20"/>
  </w:num>
  <w:num w:numId="42" w16cid:durableId="162741794">
    <w:abstractNumId w:val="6"/>
  </w:num>
  <w:num w:numId="43" w16cid:durableId="1005135213">
    <w:abstractNumId w:val="5"/>
  </w:num>
  <w:num w:numId="44" w16cid:durableId="17733562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E1C19"/>
    <w:rsid w:val="001A68D1"/>
    <w:rsid w:val="002C6E21"/>
    <w:rsid w:val="003004C5"/>
    <w:rsid w:val="005521DB"/>
    <w:rsid w:val="005F410E"/>
    <w:rsid w:val="006347A3"/>
    <w:rsid w:val="00781940"/>
    <w:rsid w:val="007F4EF4"/>
    <w:rsid w:val="00820553"/>
    <w:rsid w:val="009057D7"/>
    <w:rsid w:val="009D41D0"/>
    <w:rsid w:val="00A36E22"/>
    <w:rsid w:val="00AE38D5"/>
    <w:rsid w:val="00B801F8"/>
    <w:rsid w:val="00B87CF4"/>
    <w:rsid w:val="00C16113"/>
    <w:rsid w:val="00D34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mailto:ext-europe@centrevalde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70E79-0F58-4C38-9C99-D6C0371A2B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CE3D5F-C2AA-4F61-B1AD-02BFDCFCADCB}">
  <ds:schemaRefs>
    <ds:schemaRef ds:uri="http://schemas.microsoft.com/sharepoint/v3/contenttype/forms"/>
  </ds:schemaRefs>
</ds:datastoreItem>
</file>

<file path=customXml/itemProps3.xml><?xml version="1.0" encoding="utf-8"?>
<ds:datastoreItem xmlns:ds="http://schemas.openxmlformats.org/officeDocument/2006/customXml" ds:itemID="{9C65D254-34D0-4F26-BB6B-CA85BAE48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2617</Words>
  <Characters>14396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3</cp:revision>
  <dcterms:created xsi:type="dcterms:W3CDTF">2022-11-30T10:40:00Z</dcterms:created>
  <dcterms:modified xsi:type="dcterms:W3CDTF">2024-01-10T13:59:00Z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