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DB7203D" w:rsidR="000E1C19" w:rsidRPr="006C22DB" w:rsidRDefault="000E1C19" w:rsidP="000E1C19">
                            <w:pPr>
                              <w:pStyle w:val="Sansinterligne"/>
                              <w:jc w:val="center"/>
                              <w:rPr>
                                <w:b/>
                                <w:bCs/>
                              </w:rPr>
                            </w:pPr>
                            <w:r w:rsidRPr="006C22DB">
                              <w:rPr>
                                <w:b/>
                                <w:bCs/>
                              </w:rPr>
                              <w:t>1.</w:t>
                            </w:r>
                            <w:r w:rsidR="0015770F">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DB7203D" w:rsidR="000E1C19" w:rsidRPr="006C22DB" w:rsidRDefault="000E1C19" w:rsidP="000E1C19">
                      <w:pPr>
                        <w:pStyle w:val="Sansinterligne"/>
                        <w:jc w:val="center"/>
                        <w:rPr>
                          <w:b/>
                          <w:bCs/>
                        </w:rPr>
                      </w:pPr>
                      <w:r w:rsidRPr="006C22DB">
                        <w:rPr>
                          <w:b/>
                          <w:bCs/>
                        </w:rPr>
                        <w:t>1.</w:t>
                      </w:r>
                      <w:r w:rsidR="0015770F">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104664EF" w:rsidR="000E1C19" w:rsidRPr="006C22DB" w:rsidRDefault="00340C63"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691C2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104664EF" w:rsidR="000E1C19" w:rsidRPr="006C22DB" w:rsidRDefault="00340C63" w:rsidP="000E1C19">
                      <w:pPr>
                        <w:pStyle w:val="Sansinterligne"/>
                        <w:jc w:val="center"/>
                        <w:rPr>
                          <w:b/>
                          <w:bCs/>
                        </w:rPr>
                      </w:pPr>
                      <w:r>
                        <w:rPr>
                          <w:b/>
                          <w:bCs/>
                        </w:rPr>
                        <w:t>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121EE84A" w:rsidR="000E1C19" w:rsidRDefault="000E1C19" w:rsidP="000E1C19">
      <w:pPr>
        <w:rPr>
          <w:rFonts w:ascii="Calibri" w:hAnsi="Calibri" w:cs="Calibri"/>
        </w:rPr>
      </w:pPr>
    </w:p>
    <w:p w14:paraId="1FA9491E" w14:textId="77777777" w:rsidR="00B801F8" w:rsidRPr="009325D3" w:rsidRDefault="00B801F8" w:rsidP="00B801F8">
      <w:pPr>
        <w:rPr>
          <w:rFonts w:ascii="Calibri" w:hAnsi="Calibri" w:cs="Calibri"/>
        </w:rPr>
      </w:pPr>
    </w:p>
    <w:p w14:paraId="45F313C2" w14:textId="77777777" w:rsidR="00B53F3A" w:rsidRPr="009325D3" w:rsidRDefault="00B53F3A" w:rsidP="00B53F3A">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B53F3A" w:rsidRPr="009325D3" w14:paraId="13915396"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1949D80A" w14:textId="77777777" w:rsidR="00B53F3A" w:rsidRPr="009325D3" w:rsidRDefault="00B53F3A" w:rsidP="000B288C">
            <w:pPr>
              <w:pStyle w:val="Titre"/>
              <w:outlineLvl w:val="2"/>
              <w:rPr>
                <w:rFonts w:cs="Calibri"/>
              </w:rPr>
            </w:pPr>
            <w:bookmarkStart w:id="0" w:name="_Toc116053866"/>
            <w:r w:rsidRPr="009325D3">
              <w:rPr>
                <w:rFonts w:cs="Calibri"/>
              </w:rPr>
              <w:t>Action n°13</w:t>
            </w:r>
            <w:bookmarkEnd w:id="0"/>
          </w:p>
          <w:p w14:paraId="40F1B3F3" w14:textId="77777777" w:rsidR="00B53F3A" w:rsidRPr="009325D3" w:rsidRDefault="00B53F3A" w:rsidP="000B288C">
            <w:pPr>
              <w:pStyle w:val="Titre"/>
              <w:outlineLvl w:val="2"/>
              <w:rPr>
                <w:rFonts w:cs="Calibri"/>
              </w:rPr>
            </w:pPr>
            <w:bookmarkStart w:id="1" w:name="_Toc116053867"/>
            <w:r w:rsidRPr="009325D3">
              <w:rPr>
                <w:rFonts w:cs="Calibri"/>
              </w:rPr>
              <w:t>TIC : réseau haut débit à très haute capacité (réseau de base/de raccordement)</w:t>
            </w:r>
            <w:bookmarkEnd w:id="1"/>
          </w:p>
        </w:tc>
      </w:tr>
      <w:tr w:rsidR="00B53F3A" w:rsidRPr="009325D3" w14:paraId="4F901035"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494060F5" w14:textId="77777777" w:rsidR="00B53F3A" w:rsidRPr="009325D3" w:rsidRDefault="00B53F3A"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45D46B13" w14:textId="77777777" w:rsidR="00B53F3A" w:rsidRPr="009325D3" w:rsidRDefault="00B53F3A"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11C8A1A" w14:textId="77777777" w:rsidR="00B53F3A" w:rsidRPr="009325D3" w:rsidRDefault="00B53F3A"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3EEAC4E3" w14:textId="77777777" w:rsidR="00B53F3A" w:rsidRPr="009325D3" w:rsidRDefault="00B53F3A"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64CA9B17" w14:textId="77777777" w:rsidR="00B53F3A" w:rsidRDefault="00B53F3A" w:rsidP="00B53F3A">
      <w:pPr>
        <w:pStyle w:val="Sansinterligne"/>
        <w:jc w:val="both"/>
      </w:pPr>
    </w:p>
    <w:p w14:paraId="4BACB964" w14:textId="77777777" w:rsidR="00B53F3A" w:rsidRPr="004A7CAA" w:rsidRDefault="00B53F3A" w:rsidP="00B53F3A">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QUOI ?</w:t>
      </w:r>
      <w:r w:rsidRPr="006E3DEA">
        <w:rPr>
          <w:b/>
          <w:bCs/>
          <w:color w:val="002060"/>
          <w:sz w:val="28"/>
          <w:szCs w:val="28"/>
        </w:rPr>
        <w:t xml:space="preserve">  </w:t>
      </w:r>
      <w:r>
        <w:rPr>
          <w:b/>
          <w:bCs/>
          <w:color w:val="002060"/>
          <w:sz w:val="28"/>
          <w:szCs w:val="28"/>
        </w:rPr>
        <w:t>Contexte et o</w:t>
      </w:r>
      <w:r w:rsidRPr="004A7CAA">
        <w:rPr>
          <w:b/>
          <w:bCs/>
          <w:color w:val="002060"/>
          <w:sz w:val="28"/>
          <w:szCs w:val="28"/>
        </w:rPr>
        <w:t>bjectifs</w:t>
      </w:r>
    </w:p>
    <w:p w14:paraId="3C510AB8" w14:textId="77777777" w:rsidR="00B53F3A" w:rsidRDefault="00B53F3A" w:rsidP="00B53F3A">
      <w:pPr>
        <w:pStyle w:val="Sansinterligne"/>
        <w:jc w:val="both"/>
      </w:pPr>
    </w:p>
    <w:p w14:paraId="0C150313" w14:textId="77777777" w:rsidR="00B53F3A" w:rsidRDefault="00B53F3A" w:rsidP="00B53F3A">
      <w:pPr>
        <w:pStyle w:val="Sansinterligne"/>
        <w:jc w:val="both"/>
      </w:pPr>
      <w:r w:rsidRPr="00CE422F">
        <w:t xml:space="preserve">Les réseaux numériques sont devenus structurants et déterminants à toutes les échelles du territoire : ils contribuent au maillage des échanges humains, économiques et commerciaux, à l'offre de services et au développement local, à l'attractivité.   Or, le défi de la proximité des usages et des infrastructures est plus fort à mesure que se manifestent de nouvelles façons d’habiter, de travailler et de se déplacer. L’éloignement aux pôles urbains freine l’attractivité de certains territoires ruraux.  La construction et l’entretien d’infrastructures numériques à haute qualité de services doit permettre de créer, de maintenir et de faire revenir des activités. </w:t>
      </w:r>
    </w:p>
    <w:p w14:paraId="1D23954B" w14:textId="77777777" w:rsidR="00B53F3A" w:rsidRDefault="00B53F3A" w:rsidP="00B53F3A">
      <w:pPr>
        <w:pStyle w:val="Sansinterligne"/>
        <w:jc w:val="both"/>
      </w:pPr>
    </w:p>
    <w:p w14:paraId="79232A38" w14:textId="77777777" w:rsidR="00B53F3A" w:rsidRDefault="00B53F3A" w:rsidP="00B53F3A">
      <w:pPr>
        <w:pStyle w:val="Sansinterligne"/>
        <w:jc w:val="both"/>
      </w:pPr>
      <w:r>
        <w:t>Le déploiement de la fibre optique sur l’ensemble de la région Centre – Val de Loire va bénéficier d’un engagement fort des opérateurs privés sur le Nord de la région et sur le Val de Loire. En revanche, dans le Sud de la région, marqué par sa ruralité et une faible densité de population, les opérateurs privés ont indiqué que le retour sur investissement prévisible ne permettait pas d’atteindre un objectif de couverture optimale et que le recours aux subventions publiques était indispensable. Les départements de l’Indre et du Cher souffrent d’un vieillissement et d’une désertification préoccupantes et il apparait indispensable d’investir dans le fibrage optique afin de donner aux entreprises et aux citoyens les moyens de leur connectivité et de leur performance, alors qu’un objectif de « société du Gigabit » est fixé à l’horizon 2025 au niveau européen.</w:t>
      </w:r>
    </w:p>
    <w:p w14:paraId="5517AD97" w14:textId="77777777" w:rsidR="00B53F3A" w:rsidRDefault="00B53F3A" w:rsidP="00B53F3A">
      <w:pPr>
        <w:pStyle w:val="Sansinterligne"/>
        <w:ind w:firstLine="708"/>
        <w:jc w:val="both"/>
      </w:pPr>
    </w:p>
    <w:p w14:paraId="086B4E74" w14:textId="77777777" w:rsidR="00B53F3A" w:rsidRDefault="00B53F3A" w:rsidP="00B53F3A">
      <w:pPr>
        <w:pStyle w:val="Sansinterligne"/>
        <w:jc w:val="both"/>
      </w:pPr>
      <w:r>
        <w:t xml:space="preserve">Les investissements dans des infrastructures THD constituent un préalable à une numérisation croissante de l’économie contribuant à une plus grande résilience de la société. Ils répondent à des besoins révélés pendant la crise, et pourront être cofinancés pour autant qu’une défaillance du marché ait été constatée. Les projets doivent porter sur le déploiement d’un réseau de fibre optique de boucle locale optique mutualisée (réseau </w:t>
      </w:r>
      <w:proofErr w:type="spellStart"/>
      <w:r>
        <w:t>FttH</w:t>
      </w:r>
      <w:proofErr w:type="spellEnd"/>
      <w:r>
        <w:t xml:space="preserve">), neutre, ouvert, accessible et passif. </w:t>
      </w:r>
    </w:p>
    <w:p w14:paraId="17AD6E64" w14:textId="77777777" w:rsidR="00B53F3A" w:rsidRDefault="00B53F3A" w:rsidP="00B53F3A">
      <w:pPr>
        <w:pStyle w:val="Sansinterligne"/>
        <w:jc w:val="both"/>
      </w:pPr>
    </w:p>
    <w:p w14:paraId="7370B948" w14:textId="77777777" w:rsidR="00B53F3A" w:rsidRDefault="00B53F3A" w:rsidP="00B53F3A">
      <w:pPr>
        <w:pStyle w:val="Sansinterligne"/>
        <w:jc w:val="both"/>
      </w:pPr>
      <w:r>
        <w:t xml:space="preserve">L’objectif de déploiement de réseaux </w:t>
      </w:r>
      <w:proofErr w:type="spellStart"/>
      <w:r>
        <w:t>FttH</w:t>
      </w:r>
      <w:proofErr w:type="spellEnd"/>
      <w:r>
        <w:t xml:space="preserve"> sera apprécié au regard des spécificités de chaque territoire : caractéristiques géographiques, typologie de l’habitat ou historique du porteur de projet dans la gestion de réseaux d’initiative publique.</w:t>
      </w:r>
    </w:p>
    <w:p w14:paraId="4680FFE2" w14:textId="77777777" w:rsidR="00B53F3A" w:rsidRDefault="00B53F3A" w:rsidP="00B53F3A">
      <w:pPr>
        <w:pStyle w:val="Sansinterligne"/>
        <w:jc w:val="both"/>
      </w:pPr>
    </w:p>
    <w:p w14:paraId="5DE55D56" w14:textId="77777777" w:rsidR="00B53F3A" w:rsidRDefault="00B53F3A" w:rsidP="00B53F3A">
      <w:pPr>
        <w:pStyle w:val="Sansinterligne"/>
        <w:jc w:val="both"/>
      </w:pPr>
      <w:r>
        <w:t xml:space="preserve">En cohérence avec les dispositions du cahier des charges du Plan France THD, le FEDER sera ainsi consacré à l’achèvement du réseau très haut débit régional, au sein de la zone d’initiative publique. </w:t>
      </w:r>
    </w:p>
    <w:p w14:paraId="433A9D16" w14:textId="77777777" w:rsidR="00B53F3A" w:rsidRDefault="00B53F3A" w:rsidP="00B53F3A">
      <w:pPr>
        <w:pStyle w:val="Sansinterligne"/>
        <w:numPr>
          <w:ilvl w:val="0"/>
          <w:numId w:val="45"/>
        </w:numPr>
        <w:jc w:val="both"/>
      </w:pPr>
      <w:r>
        <w:t xml:space="preserve">Déployer le très haut débit à l’abonné sur le reste des prises des départements du Cher et de l’Indre de la Région Centre-Val de Loire à l’horizon 2030 hors zone d’initiative privée, </w:t>
      </w:r>
    </w:p>
    <w:p w14:paraId="3AA91D99" w14:textId="77777777" w:rsidR="00B53F3A" w:rsidRDefault="00B53F3A" w:rsidP="00B53F3A">
      <w:pPr>
        <w:pStyle w:val="Sansinterligne"/>
        <w:numPr>
          <w:ilvl w:val="0"/>
          <w:numId w:val="45"/>
        </w:numPr>
        <w:jc w:val="both"/>
      </w:pPr>
      <w:r>
        <w:t xml:space="preserve">Eviter une nouvelle fracture numérique en concentrant les financements sur des zones d’initiatives publiques non encore couvertes et plus particulièrement : </w:t>
      </w:r>
    </w:p>
    <w:p w14:paraId="04E150CD" w14:textId="77777777" w:rsidR="00B53F3A" w:rsidRDefault="00B53F3A" w:rsidP="00B53F3A">
      <w:pPr>
        <w:pStyle w:val="Sansinterligne"/>
        <w:numPr>
          <w:ilvl w:val="0"/>
          <w:numId w:val="46"/>
        </w:numPr>
        <w:jc w:val="both"/>
      </w:pPr>
      <w:r>
        <w:t xml:space="preserve">En proposant un service minimum de 30 </w:t>
      </w:r>
      <w:proofErr w:type="spellStart"/>
      <w:r>
        <w:t>Mbts</w:t>
      </w:r>
      <w:proofErr w:type="spellEnd"/>
      <w:r>
        <w:t xml:space="preserve"> ;</w:t>
      </w:r>
    </w:p>
    <w:p w14:paraId="52E57042" w14:textId="77777777" w:rsidR="00B53F3A" w:rsidRDefault="00B53F3A" w:rsidP="00B53F3A">
      <w:pPr>
        <w:pStyle w:val="Sansinterligne"/>
        <w:numPr>
          <w:ilvl w:val="0"/>
          <w:numId w:val="46"/>
        </w:numPr>
        <w:jc w:val="both"/>
      </w:pPr>
      <w:r>
        <w:t>En garantissant une bonne articulation des déploiements du projet avec les réseaux et infrastructures actuels et projetés des opérateurs.</w:t>
      </w:r>
    </w:p>
    <w:p w14:paraId="47107F20" w14:textId="77777777" w:rsidR="00B53F3A" w:rsidRDefault="00B53F3A" w:rsidP="00B53F3A">
      <w:pPr>
        <w:pStyle w:val="Sansinterligne"/>
        <w:ind w:left="1428"/>
        <w:jc w:val="both"/>
      </w:pPr>
    </w:p>
    <w:p w14:paraId="5EE9BEB9" w14:textId="77777777" w:rsidR="00B53F3A" w:rsidRDefault="00B53F3A" w:rsidP="00B53F3A">
      <w:pPr>
        <w:pStyle w:val="Sansinterligne"/>
        <w:jc w:val="both"/>
      </w:pPr>
      <w:r>
        <w:t>Le FEDER sera concentré sur les locaux non desservies en FTTH par un opérateur privé ou public.</w:t>
      </w:r>
    </w:p>
    <w:p w14:paraId="48469FB7" w14:textId="77777777" w:rsidR="00B53F3A" w:rsidRDefault="00B53F3A" w:rsidP="00B53F3A">
      <w:pPr>
        <w:pStyle w:val="Sansinterligne"/>
        <w:jc w:val="both"/>
      </w:pPr>
    </w:p>
    <w:p w14:paraId="586A0785" w14:textId="77777777" w:rsidR="00B53F3A" w:rsidRPr="004A7CAA" w:rsidRDefault="00B53F3A" w:rsidP="00B53F3A">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 xml:space="preserve">QUOI ? </w:t>
      </w:r>
      <w:r>
        <w:rPr>
          <w:b/>
          <w:bCs/>
          <w:color w:val="002060"/>
          <w:sz w:val="28"/>
          <w:szCs w:val="28"/>
        </w:rPr>
        <w:t xml:space="preserve"> Description des interventions soutenues dans le Programme </w:t>
      </w:r>
    </w:p>
    <w:p w14:paraId="76AF6390" w14:textId="77777777" w:rsidR="00B53F3A" w:rsidRDefault="00B53F3A" w:rsidP="00B53F3A">
      <w:pPr>
        <w:pStyle w:val="Sansinterligne"/>
        <w:jc w:val="both"/>
        <w:rPr>
          <w:color w:val="000000" w:themeColor="text1"/>
        </w:rPr>
      </w:pPr>
    </w:p>
    <w:p w14:paraId="418B7AE2" w14:textId="77777777" w:rsidR="00B53F3A" w:rsidRDefault="00B53F3A" w:rsidP="00B53F3A">
      <w:pPr>
        <w:pStyle w:val="Sansinterligne"/>
        <w:numPr>
          <w:ilvl w:val="0"/>
          <w:numId w:val="47"/>
        </w:numPr>
        <w:jc w:val="both"/>
        <w:rPr>
          <w:color w:val="000000" w:themeColor="text1"/>
        </w:rPr>
      </w:pPr>
      <w:r w:rsidRPr="00DC66B3">
        <w:rPr>
          <w:color w:val="000000" w:themeColor="text1"/>
        </w:rPr>
        <w:t xml:space="preserve">Investissements de déploiement du très haut débit jusqu’à l’abonné – plaques </w:t>
      </w:r>
      <w:proofErr w:type="spellStart"/>
      <w:r w:rsidRPr="00DC66B3">
        <w:rPr>
          <w:color w:val="000000" w:themeColor="text1"/>
        </w:rPr>
        <w:t>Ftth</w:t>
      </w:r>
      <w:proofErr w:type="spellEnd"/>
      <w:r w:rsidRPr="00DC66B3">
        <w:rPr>
          <w:color w:val="000000" w:themeColor="text1"/>
        </w:rPr>
        <w:t>, en desserte et en collecte : investissements relatifs au périmètre de la phase 2 du réseau très haut débit sous maitrise d’ouvrage du délégataire (DSP concessive),</w:t>
      </w:r>
    </w:p>
    <w:p w14:paraId="1EF5F56A" w14:textId="77777777" w:rsidR="00B53F3A" w:rsidRDefault="00B53F3A" w:rsidP="00B53F3A">
      <w:pPr>
        <w:pStyle w:val="Sansinterligne"/>
        <w:numPr>
          <w:ilvl w:val="0"/>
          <w:numId w:val="47"/>
        </w:numPr>
        <w:jc w:val="both"/>
        <w:rPr>
          <w:color w:val="000000" w:themeColor="text1"/>
        </w:rPr>
      </w:pPr>
      <w:r w:rsidRPr="00DC66B3">
        <w:rPr>
          <w:color w:val="000000" w:themeColor="text1"/>
        </w:rPr>
        <w:lastRenderedPageBreak/>
        <w:t>Etudes préalables à l’investissement (repérage des réseaux, études économiques, études d’ingénierie) ainsi que les processus permettant un suivi des déploiements (Systèmes d’Information géographique dédiés).</w:t>
      </w:r>
    </w:p>
    <w:p w14:paraId="5CD497A8" w14:textId="77777777" w:rsidR="00B53F3A" w:rsidRPr="00662C26" w:rsidRDefault="00B53F3A" w:rsidP="00B53F3A">
      <w:pPr>
        <w:pStyle w:val="Sansinterligne"/>
        <w:jc w:val="both"/>
        <w:rPr>
          <w:color w:val="000000" w:themeColor="text1"/>
        </w:rPr>
      </w:pPr>
    </w:p>
    <w:p w14:paraId="62CAF20E" w14:textId="77777777" w:rsidR="00B53F3A" w:rsidRPr="002C70D5" w:rsidRDefault="00B53F3A" w:rsidP="00B53F3A">
      <w:pPr>
        <w:pStyle w:val="Sansinterligne"/>
        <w:shd w:val="clear" w:color="auto" w:fill="B3FFEB"/>
        <w:jc w:val="both"/>
        <w:rPr>
          <w:b/>
          <w:bCs/>
          <w:sz w:val="28"/>
          <w:szCs w:val="28"/>
        </w:rPr>
      </w:pPr>
      <w:r w:rsidRPr="002C70D5">
        <w:rPr>
          <w:b/>
          <w:bCs/>
          <w:color w:val="FFFFFF" w:themeColor="background1"/>
          <w:sz w:val="28"/>
          <w:szCs w:val="28"/>
          <w:shd w:val="clear" w:color="auto" w:fill="00CC99"/>
        </w:rPr>
        <w:t xml:space="preserve">QUI ? </w:t>
      </w:r>
      <w:r w:rsidRPr="002C70D5">
        <w:rPr>
          <w:b/>
          <w:bCs/>
          <w:sz w:val="28"/>
          <w:szCs w:val="28"/>
        </w:rPr>
        <w:t xml:space="preserve"> </w:t>
      </w:r>
      <w:r w:rsidRPr="002C70D5">
        <w:rPr>
          <w:b/>
          <w:bCs/>
          <w:color w:val="002060"/>
          <w:sz w:val="28"/>
          <w:szCs w:val="28"/>
        </w:rPr>
        <w:t>Bénéficiaires potentiels</w:t>
      </w:r>
    </w:p>
    <w:p w14:paraId="1EB4DDC0" w14:textId="77777777" w:rsidR="00B53F3A" w:rsidRDefault="00B53F3A" w:rsidP="00B53F3A">
      <w:pPr>
        <w:pStyle w:val="Sansinterligne"/>
        <w:jc w:val="both"/>
      </w:pPr>
    </w:p>
    <w:p w14:paraId="1BABE059" w14:textId="77777777" w:rsidR="00B53F3A" w:rsidRDefault="00B53F3A" w:rsidP="00B53F3A">
      <w:pPr>
        <w:pStyle w:val="Sansinterligne"/>
        <w:numPr>
          <w:ilvl w:val="0"/>
          <w:numId w:val="49"/>
        </w:numPr>
        <w:jc w:val="both"/>
      </w:pPr>
      <w:r>
        <w:t>Syndicats mixtes ouvertes dédiés à l’aménagement numérique du territoire</w:t>
      </w:r>
    </w:p>
    <w:p w14:paraId="2BCA88C1" w14:textId="77777777" w:rsidR="00B53F3A" w:rsidRDefault="00B53F3A" w:rsidP="00B53F3A">
      <w:pPr>
        <w:pStyle w:val="Sansinterligne"/>
        <w:numPr>
          <w:ilvl w:val="0"/>
          <w:numId w:val="49"/>
        </w:numPr>
        <w:jc w:val="both"/>
      </w:pPr>
      <w:r>
        <w:t>Délégataires de service public</w:t>
      </w:r>
    </w:p>
    <w:p w14:paraId="13ED2676" w14:textId="77777777" w:rsidR="00B53F3A" w:rsidRDefault="00B53F3A" w:rsidP="00B53F3A">
      <w:pPr>
        <w:pStyle w:val="Sansinterligne"/>
        <w:numPr>
          <w:ilvl w:val="0"/>
          <w:numId w:val="49"/>
        </w:numPr>
        <w:jc w:val="both"/>
      </w:pPr>
      <w:r>
        <w:t>Collectivités territoriales et leurs groupements</w:t>
      </w:r>
    </w:p>
    <w:p w14:paraId="0BE94840" w14:textId="77777777" w:rsidR="00B53F3A" w:rsidRDefault="00B53F3A" w:rsidP="00B53F3A">
      <w:pPr>
        <w:pStyle w:val="Sansinterligne"/>
        <w:ind w:left="720"/>
        <w:jc w:val="both"/>
      </w:pPr>
    </w:p>
    <w:p w14:paraId="0F856864" w14:textId="77777777" w:rsidR="00B53F3A" w:rsidRDefault="00B53F3A" w:rsidP="00B53F3A">
      <w:pPr>
        <w:pStyle w:val="Sansinterligne"/>
        <w:shd w:val="clear" w:color="auto" w:fill="C5F0FF"/>
        <w:jc w:val="both"/>
        <w:rPr>
          <w:b/>
          <w:bCs/>
          <w:color w:val="002060"/>
          <w:sz w:val="28"/>
          <w:szCs w:val="28"/>
        </w:rPr>
      </w:pPr>
      <w:r w:rsidRPr="002C70D5">
        <w:rPr>
          <w:b/>
          <w:bCs/>
          <w:color w:val="FFFFFF" w:themeColor="background1"/>
          <w:sz w:val="28"/>
          <w:szCs w:val="28"/>
          <w:shd w:val="clear" w:color="auto" w:fill="0099CC"/>
        </w:rPr>
        <w:t>O</w:t>
      </w:r>
      <w:r w:rsidRPr="002C70D5">
        <w:rPr>
          <w:rFonts w:cstheme="minorHAnsi"/>
          <w:b/>
          <w:bCs/>
          <w:color w:val="FFFFFF" w:themeColor="background1"/>
          <w:sz w:val="28"/>
          <w:szCs w:val="28"/>
          <w:shd w:val="clear" w:color="auto" w:fill="0099CC"/>
        </w:rPr>
        <w:t>Ù</w:t>
      </w:r>
      <w:r w:rsidRPr="002C70D5">
        <w:rPr>
          <w:b/>
          <w:bCs/>
          <w:color w:val="FFFFFF" w:themeColor="background1"/>
          <w:sz w:val="28"/>
          <w:szCs w:val="28"/>
          <w:shd w:val="clear" w:color="auto" w:fill="0099CC"/>
        </w:rPr>
        <w:t> ?</w:t>
      </w:r>
      <w:r w:rsidRPr="002C70D5">
        <w:rPr>
          <w:b/>
          <w:bCs/>
          <w:sz w:val="28"/>
          <w:szCs w:val="28"/>
          <w:shd w:val="clear" w:color="auto" w:fill="0099CC"/>
        </w:rPr>
        <w:t xml:space="preserve"> </w:t>
      </w:r>
      <w:r w:rsidRPr="002C70D5">
        <w:rPr>
          <w:b/>
          <w:bCs/>
          <w:sz w:val="28"/>
          <w:szCs w:val="28"/>
        </w:rPr>
        <w:t xml:space="preserve"> </w:t>
      </w:r>
      <w:r w:rsidRPr="002C70D5">
        <w:rPr>
          <w:b/>
          <w:bCs/>
          <w:color w:val="002060"/>
          <w:sz w:val="28"/>
          <w:szCs w:val="28"/>
        </w:rPr>
        <w:t>Territoires cibles</w:t>
      </w:r>
    </w:p>
    <w:p w14:paraId="0C026D18" w14:textId="77777777" w:rsidR="00B53F3A" w:rsidRDefault="00B53F3A" w:rsidP="00B53F3A">
      <w:pPr>
        <w:pStyle w:val="Sansinterligne"/>
        <w:jc w:val="both"/>
      </w:pPr>
    </w:p>
    <w:p w14:paraId="541FDE00" w14:textId="77777777" w:rsidR="00B53F3A" w:rsidRDefault="00B53F3A" w:rsidP="00B53F3A">
      <w:pPr>
        <w:pStyle w:val="Sansinterligne"/>
        <w:jc w:val="both"/>
      </w:pPr>
      <w:r w:rsidRPr="003D5A03">
        <w:t>Achèvement de la couverture très haut débit à l’abonné sur le reste des prises des départements du Cher et de l’Indre à l’horizon 2030</w:t>
      </w:r>
      <w:r>
        <w:t>.</w:t>
      </w:r>
    </w:p>
    <w:p w14:paraId="65948D40" w14:textId="77777777" w:rsidR="00B53F3A" w:rsidRDefault="00B53F3A" w:rsidP="00B53F3A">
      <w:pPr>
        <w:pStyle w:val="Sansinterligne"/>
        <w:jc w:val="both"/>
      </w:pPr>
    </w:p>
    <w:p w14:paraId="0EFBB5A2" w14:textId="77777777" w:rsidR="00B53F3A" w:rsidRPr="002C70D5" w:rsidRDefault="00B53F3A" w:rsidP="00B53F3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Critères de sélection des projets</w:t>
      </w:r>
    </w:p>
    <w:p w14:paraId="6973B21C" w14:textId="77777777" w:rsidR="00B53F3A" w:rsidRDefault="00B53F3A" w:rsidP="00B53F3A">
      <w:pPr>
        <w:pStyle w:val="Sansinterligne"/>
        <w:jc w:val="both"/>
      </w:pPr>
    </w:p>
    <w:p w14:paraId="1684C719" w14:textId="77777777" w:rsidR="00B53F3A" w:rsidRPr="00556622" w:rsidRDefault="00B53F3A" w:rsidP="00B53F3A">
      <w:pPr>
        <w:pStyle w:val="Sansinterligne"/>
        <w:numPr>
          <w:ilvl w:val="0"/>
          <w:numId w:val="47"/>
        </w:numPr>
        <w:jc w:val="both"/>
        <w:rPr>
          <w:color w:val="000000" w:themeColor="text1"/>
        </w:rPr>
      </w:pPr>
      <w:r w:rsidRPr="00556622">
        <w:rPr>
          <w:color w:val="000000" w:themeColor="text1"/>
        </w:rPr>
        <w:t>Conformité des investissements avec la réglementation nationale, notamment du régulateur (ARCEP), et de la réglementation européenne,</w:t>
      </w:r>
    </w:p>
    <w:p w14:paraId="7ED6C546" w14:textId="77777777" w:rsidR="00B53F3A" w:rsidRPr="00DC66B3" w:rsidRDefault="00B53F3A" w:rsidP="00B53F3A">
      <w:pPr>
        <w:pStyle w:val="Sansinterligne"/>
        <w:numPr>
          <w:ilvl w:val="0"/>
          <w:numId w:val="48"/>
        </w:numPr>
        <w:jc w:val="both"/>
        <w:rPr>
          <w:color w:val="000000" w:themeColor="text1"/>
        </w:rPr>
      </w:pPr>
      <w:r w:rsidRPr="00DC66B3">
        <w:rPr>
          <w:color w:val="000000" w:themeColor="text1"/>
        </w:rPr>
        <w:t xml:space="preserve">Cohérence avec les objectifs du SRADDET, Projet permettant d’offrir des offres de service d’au minimum 30 </w:t>
      </w:r>
      <w:proofErr w:type="spellStart"/>
      <w:r w:rsidRPr="00DC66B3">
        <w:rPr>
          <w:color w:val="000000" w:themeColor="text1"/>
        </w:rPr>
        <w:t>Mbts</w:t>
      </w:r>
      <w:proofErr w:type="spellEnd"/>
      <w:r w:rsidRPr="00DC66B3">
        <w:rPr>
          <w:color w:val="000000" w:themeColor="text1"/>
        </w:rPr>
        <w:t>,</w:t>
      </w:r>
    </w:p>
    <w:p w14:paraId="105AFB4E" w14:textId="77777777" w:rsidR="00B53F3A" w:rsidRPr="00DC66B3" w:rsidRDefault="00B53F3A" w:rsidP="00B53F3A">
      <w:pPr>
        <w:pStyle w:val="Sansinterligne"/>
        <w:numPr>
          <w:ilvl w:val="0"/>
          <w:numId w:val="48"/>
        </w:numPr>
        <w:jc w:val="both"/>
        <w:rPr>
          <w:color w:val="000000" w:themeColor="text1"/>
        </w:rPr>
      </w:pPr>
      <w:r w:rsidRPr="00DC66B3">
        <w:rPr>
          <w:color w:val="000000" w:themeColor="text1"/>
        </w:rPr>
        <w:t>Investissement réalisé uniquement sur les zones d’initiative publique</w:t>
      </w:r>
      <w:r>
        <w:rPr>
          <w:color w:val="000000" w:themeColor="text1"/>
        </w:rPr>
        <w:t>.</w:t>
      </w:r>
    </w:p>
    <w:p w14:paraId="0D678FF8" w14:textId="77777777" w:rsidR="00B53F3A" w:rsidRDefault="00B53F3A" w:rsidP="00B53F3A">
      <w:pPr>
        <w:pStyle w:val="Sansinterligne"/>
        <w:jc w:val="both"/>
      </w:pPr>
    </w:p>
    <w:p w14:paraId="590ACC26" w14:textId="77777777" w:rsidR="00B53F3A" w:rsidRDefault="00B53F3A" w:rsidP="00B53F3A">
      <w:pPr>
        <w:pStyle w:val="Sansinterligne"/>
        <w:jc w:val="both"/>
      </w:pPr>
    </w:p>
    <w:p w14:paraId="0E46AA58" w14:textId="77777777" w:rsidR="00B53F3A" w:rsidRPr="002C70D5" w:rsidRDefault="00B53F3A" w:rsidP="00B53F3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Modalités de dépôt</w:t>
      </w:r>
    </w:p>
    <w:p w14:paraId="4801B1F5" w14:textId="77777777" w:rsidR="00B53F3A" w:rsidRDefault="00B53F3A" w:rsidP="00B53F3A">
      <w:pPr>
        <w:pStyle w:val="Sansinterligne"/>
        <w:jc w:val="both"/>
      </w:pPr>
    </w:p>
    <w:p w14:paraId="0414E27E" w14:textId="77777777" w:rsidR="00B53F3A" w:rsidRDefault="00B53F3A" w:rsidP="00B53F3A">
      <w:pPr>
        <w:pStyle w:val="Sansinterligne"/>
        <w:jc w:val="both"/>
      </w:pPr>
      <w:r>
        <w:t xml:space="preserve">Guichet (au fil de l’eau) ou Appel à projets </w:t>
      </w:r>
    </w:p>
    <w:p w14:paraId="3041B120" w14:textId="77777777" w:rsidR="00B53F3A" w:rsidRDefault="00B53F3A" w:rsidP="00B53F3A">
      <w:pPr>
        <w:pStyle w:val="Sansinterligne"/>
        <w:jc w:val="both"/>
      </w:pPr>
    </w:p>
    <w:p w14:paraId="6334D8B0" w14:textId="77777777" w:rsidR="00B53F3A" w:rsidRPr="002C70D5" w:rsidRDefault="00B53F3A" w:rsidP="00B53F3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Conditions favorisantes</w:t>
      </w:r>
    </w:p>
    <w:p w14:paraId="7D69BD63" w14:textId="77777777" w:rsidR="00B53F3A" w:rsidRDefault="00B53F3A" w:rsidP="00B53F3A">
      <w:pPr>
        <w:pStyle w:val="Sansinterligne"/>
        <w:jc w:val="both"/>
      </w:pPr>
    </w:p>
    <w:p w14:paraId="5C937CEB" w14:textId="77777777" w:rsidR="00B53F3A" w:rsidRDefault="00B53F3A" w:rsidP="00B53F3A">
      <w:pPr>
        <w:pStyle w:val="Sansinterligne"/>
        <w:jc w:val="both"/>
      </w:pPr>
      <w:r w:rsidRPr="004B1E2C">
        <w:t>1.2 Plan national ou régional pour le haut débit</w:t>
      </w:r>
    </w:p>
    <w:p w14:paraId="212C2A40" w14:textId="77777777" w:rsidR="00B53F3A" w:rsidRDefault="00B53F3A" w:rsidP="00B53F3A">
      <w:pPr>
        <w:pStyle w:val="Sansinterligne"/>
        <w:jc w:val="both"/>
      </w:pPr>
    </w:p>
    <w:p w14:paraId="365D9BCA" w14:textId="77777777" w:rsidR="00B53F3A" w:rsidRPr="002C70D5" w:rsidRDefault="00B53F3A" w:rsidP="00B53F3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Principes horizontaux</w:t>
      </w:r>
    </w:p>
    <w:p w14:paraId="402E533F" w14:textId="77777777" w:rsidR="00B53F3A" w:rsidRDefault="00B53F3A" w:rsidP="00B53F3A">
      <w:pPr>
        <w:pStyle w:val="Sansinterligne"/>
        <w:jc w:val="both"/>
      </w:pPr>
    </w:p>
    <w:p w14:paraId="4C3C80F0" w14:textId="77777777" w:rsidR="00B53F3A" w:rsidRPr="009325D3" w:rsidRDefault="00B53F3A" w:rsidP="00B53F3A">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482B43FD" w14:textId="77777777" w:rsidR="00B53F3A" w:rsidRDefault="00B53F3A" w:rsidP="00B53F3A">
      <w:pPr>
        <w:pStyle w:val="Sansinterligne"/>
        <w:jc w:val="both"/>
      </w:pPr>
    </w:p>
    <w:p w14:paraId="3EDC21B8" w14:textId="77777777" w:rsidR="00B53F3A" w:rsidRPr="002C70D5" w:rsidRDefault="00B53F3A" w:rsidP="00B53F3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Respect des règles européennes</w:t>
      </w:r>
    </w:p>
    <w:p w14:paraId="1E065D66" w14:textId="77777777" w:rsidR="00B53F3A" w:rsidRDefault="00B53F3A" w:rsidP="00B53F3A">
      <w:pPr>
        <w:pStyle w:val="Sansinterligne"/>
        <w:jc w:val="both"/>
      </w:pPr>
    </w:p>
    <w:p w14:paraId="7539C574" w14:textId="77777777" w:rsidR="00B53F3A" w:rsidRPr="00C57CAD" w:rsidRDefault="00B53F3A" w:rsidP="00B53F3A">
      <w:pPr>
        <w:pStyle w:val="Sansinterligne"/>
        <w:jc w:val="both"/>
        <w:rPr>
          <w:b/>
          <w:bCs/>
          <w:color w:val="002060"/>
        </w:rPr>
      </w:pPr>
      <w:r w:rsidRPr="00C57CAD">
        <w:rPr>
          <w:b/>
          <w:bCs/>
          <w:color w:val="002060"/>
        </w:rPr>
        <w:t xml:space="preserve">Régimes d’aides d’état notamment mobilisables :  </w:t>
      </w:r>
    </w:p>
    <w:p w14:paraId="4458E435" w14:textId="77777777" w:rsidR="00B53F3A" w:rsidRDefault="00B53F3A" w:rsidP="00B53F3A">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2137A2D7" w14:textId="77777777" w:rsidR="00B53F3A" w:rsidRDefault="00B53F3A" w:rsidP="00B53F3A">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6E6EE6EC" w14:textId="77777777" w:rsidR="00B53F3A" w:rsidRDefault="00B53F3A" w:rsidP="00B53F3A">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2F9DDD41" w14:textId="77777777" w:rsidR="00B53F3A" w:rsidRDefault="00B53F3A" w:rsidP="00B53F3A">
      <w:pPr>
        <w:pStyle w:val="Sansinterligne"/>
        <w:numPr>
          <w:ilvl w:val="0"/>
          <w:numId w:val="1"/>
        </w:numPr>
        <w:jc w:val="both"/>
      </w:pPr>
      <w:r>
        <w:t>Communication de la Commission relative à la notion d</w:t>
      </w:r>
      <w:proofErr w:type="gramStart"/>
      <w:r>
        <w:t>’«</w:t>
      </w:r>
      <w:proofErr w:type="gramEnd"/>
      <w:r>
        <w:t xml:space="preserve"> aide d'État» visée à l'article 107, paragraphe 1, du traité sur le fonctionnement de l'Union européenne, C/2016/2946, OJ C 262, 19.7.2016, p. 1–50 .</w:t>
      </w:r>
    </w:p>
    <w:p w14:paraId="249D93BA" w14:textId="77777777" w:rsidR="00625D29" w:rsidRDefault="00625D29" w:rsidP="00B53F3A">
      <w:pPr>
        <w:pStyle w:val="Sansinterligne"/>
        <w:jc w:val="both"/>
      </w:pPr>
    </w:p>
    <w:p w14:paraId="446CA709" w14:textId="77777777" w:rsidR="00625D29" w:rsidRDefault="00625D29" w:rsidP="00B53F3A">
      <w:pPr>
        <w:pStyle w:val="Sansinterligne"/>
        <w:jc w:val="both"/>
      </w:pPr>
    </w:p>
    <w:p w14:paraId="563DC148" w14:textId="4C3911CC" w:rsidR="00B53F3A" w:rsidRDefault="00B53F3A" w:rsidP="00B53F3A">
      <w:pPr>
        <w:pStyle w:val="Sansinterligne"/>
        <w:jc w:val="both"/>
      </w:pPr>
      <w:r>
        <w:t xml:space="preserve">  </w:t>
      </w:r>
    </w:p>
    <w:p w14:paraId="1A2CC99D" w14:textId="77777777" w:rsidR="00B53F3A" w:rsidRPr="00C57CAD" w:rsidRDefault="00B53F3A" w:rsidP="00B53F3A">
      <w:pPr>
        <w:pStyle w:val="Sansinterligne"/>
        <w:jc w:val="both"/>
        <w:rPr>
          <w:b/>
          <w:bCs/>
          <w:color w:val="002060"/>
        </w:rPr>
      </w:pPr>
      <w:r w:rsidRPr="00C57CAD">
        <w:rPr>
          <w:b/>
          <w:bCs/>
          <w:color w:val="002060"/>
        </w:rPr>
        <w:lastRenderedPageBreak/>
        <w:t xml:space="preserve">Eligibilité des dépenses : </w:t>
      </w:r>
    </w:p>
    <w:p w14:paraId="433F5970" w14:textId="77777777" w:rsidR="00B53F3A" w:rsidRDefault="00B53F3A" w:rsidP="00B53F3A">
      <w:pPr>
        <w:pStyle w:val="Sansinterligne"/>
        <w:numPr>
          <w:ilvl w:val="0"/>
          <w:numId w:val="1"/>
        </w:numPr>
        <w:jc w:val="both"/>
      </w:pPr>
      <w:r>
        <w:t>Règlement (UE, Euratom) n°2018/1046 relatif aux règles financières applicables au budget général de l’Union, dit Omnibus ;</w:t>
      </w:r>
    </w:p>
    <w:p w14:paraId="7056E983" w14:textId="77777777" w:rsidR="00B53F3A" w:rsidRPr="00054021" w:rsidRDefault="00B53F3A" w:rsidP="00B53F3A">
      <w:pPr>
        <w:pStyle w:val="Sansinterligne"/>
        <w:numPr>
          <w:ilvl w:val="0"/>
          <w:numId w:val="1"/>
        </w:numPr>
        <w:jc w:val="both"/>
        <w:rPr>
          <w:color w:val="000000" w:themeColor="text1"/>
        </w:rPr>
      </w:pPr>
      <w:r>
        <w:t xml:space="preserve">Décret </w:t>
      </w:r>
      <w:r w:rsidRPr="003B42C2">
        <w:t xml:space="preserve">n°2022-608 du 21 avril 2022 </w:t>
      </w:r>
      <w:r w:rsidRPr="00054021">
        <w:rPr>
          <w:color w:val="000000" w:themeColor="text1"/>
        </w:rPr>
        <w:t xml:space="preserve">fixant les règles nationales d’éligibilité des dépenses dans le cadre des programmes cofinancés par les fonds européens structurels et d’investissement (FEDER, FSE +, FEADER, FEAMP) pour la période 2021-2027 ; </w:t>
      </w:r>
    </w:p>
    <w:p w14:paraId="51493FE6" w14:textId="77777777" w:rsidR="00B53F3A" w:rsidRDefault="00B53F3A" w:rsidP="00B53F3A">
      <w:pPr>
        <w:pStyle w:val="Sansinterligne"/>
        <w:jc w:val="both"/>
      </w:pPr>
      <w:r>
        <w:t xml:space="preserve">  </w:t>
      </w:r>
    </w:p>
    <w:p w14:paraId="02253765" w14:textId="77777777" w:rsidR="00B53F3A" w:rsidRPr="00C57CAD" w:rsidRDefault="00B53F3A" w:rsidP="00B53F3A">
      <w:pPr>
        <w:pStyle w:val="Sansinterligne"/>
        <w:jc w:val="both"/>
        <w:rPr>
          <w:b/>
          <w:bCs/>
          <w:color w:val="002060"/>
        </w:rPr>
      </w:pPr>
      <w:r w:rsidRPr="00C57CAD">
        <w:rPr>
          <w:b/>
          <w:bCs/>
          <w:color w:val="002060"/>
        </w:rPr>
        <w:t xml:space="preserve">Commande publique : </w:t>
      </w:r>
    </w:p>
    <w:p w14:paraId="68CAD330" w14:textId="77777777" w:rsidR="00B53F3A" w:rsidRDefault="00B53F3A" w:rsidP="00B53F3A">
      <w:pPr>
        <w:pStyle w:val="Sansinterligne"/>
        <w:numPr>
          <w:ilvl w:val="0"/>
          <w:numId w:val="1"/>
        </w:numPr>
        <w:jc w:val="both"/>
      </w:pPr>
      <w:r>
        <w:t xml:space="preserve">Code de la Commande Publique ; </w:t>
      </w:r>
    </w:p>
    <w:p w14:paraId="4814CCCE" w14:textId="77777777" w:rsidR="00B53F3A" w:rsidRDefault="00B53F3A" w:rsidP="00B53F3A">
      <w:pPr>
        <w:pStyle w:val="Sansinterligne"/>
        <w:numPr>
          <w:ilvl w:val="0"/>
          <w:numId w:val="1"/>
        </w:numPr>
        <w:jc w:val="both"/>
      </w:pPr>
      <w:r>
        <w:t xml:space="preserve">Ordonnance n°2018-1074 du 26 novembre 2018 relative aux marchés publics ;  </w:t>
      </w:r>
    </w:p>
    <w:p w14:paraId="6101C8AF" w14:textId="77777777" w:rsidR="00B53F3A" w:rsidRDefault="00B53F3A" w:rsidP="00B53F3A">
      <w:pPr>
        <w:pStyle w:val="Sansinterligne"/>
        <w:numPr>
          <w:ilvl w:val="0"/>
          <w:numId w:val="1"/>
        </w:numPr>
        <w:jc w:val="both"/>
      </w:pPr>
      <w:r>
        <w:t>Décret n°2018-1075 du 3 décembre 2018 relatif aux marchés publics.</w:t>
      </w:r>
    </w:p>
    <w:p w14:paraId="1C7CD737" w14:textId="77777777" w:rsidR="00B53F3A" w:rsidRDefault="00B53F3A" w:rsidP="00B53F3A">
      <w:pPr>
        <w:pStyle w:val="Sansinterligne"/>
        <w:jc w:val="both"/>
      </w:pPr>
    </w:p>
    <w:p w14:paraId="7C591332" w14:textId="77777777" w:rsidR="00B53F3A" w:rsidRPr="002C70D5" w:rsidRDefault="00B53F3A" w:rsidP="00B53F3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sidRPr="002C70D5">
        <w:rPr>
          <w:b/>
          <w:bCs/>
          <w:color w:val="002060"/>
          <w:sz w:val="28"/>
          <w:szCs w:val="28"/>
        </w:rPr>
        <w:t>Dépenses éligibles</w:t>
      </w:r>
    </w:p>
    <w:p w14:paraId="00426A8A" w14:textId="77777777" w:rsidR="00B53F3A" w:rsidRDefault="00B53F3A" w:rsidP="00B53F3A">
      <w:pPr>
        <w:pStyle w:val="Sansinterligne"/>
        <w:jc w:val="both"/>
      </w:pPr>
    </w:p>
    <w:p w14:paraId="0EFDEFE6" w14:textId="77777777" w:rsidR="00B53F3A" w:rsidRDefault="00B53F3A" w:rsidP="00B53F3A">
      <w:pPr>
        <w:pStyle w:val="Sansinterligne"/>
        <w:numPr>
          <w:ilvl w:val="0"/>
          <w:numId w:val="12"/>
        </w:numPr>
        <w:jc w:val="both"/>
      </w:pPr>
      <w:r>
        <w:t xml:space="preserve">Dépenses d’investissement, d’équipement (dont logiciels), </w:t>
      </w:r>
    </w:p>
    <w:p w14:paraId="3EE91423" w14:textId="77777777" w:rsidR="00B53F3A" w:rsidRPr="009325D3" w:rsidRDefault="00B53F3A" w:rsidP="00B53F3A">
      <w:pPr>
        <w:pStyle w:val="Sansinterligne"/>
        <w:numPr>
          <w:ilvl w:val="0"/>
          <w:numId w:val="12"/>
        </w:numPr>
        <w:jc w:val="both"/>
        <w:rPr>
          <w:rFonts w:ascii="Calibri" w:hAnsi="Calibri" w:cs="Calibri"/>
        </w:rPr>
      </w:pPr>
      <w:r w:rsidRPr="009325D3">
        <w:rPr>
          <w:rFonts w:ascii="Calibri" w:hAnsi="Calibri" w:cs="Calibri"/>
        </w:rPr>
        <w:t>Prestations externes</w:t>
      </w:r>
    </w:p>
    <w:p w14:paraId="0EB652CC" w14:textId="77777777" w:rsidR="00B53F3A" w:rsidRDefault="00B53F3A" w:rsidP="00B53F3A">
      <w:pPr>
        <w:pStyle w:val="Sansinterligne"/>
        <w:jc w:val="both"/>
      </w:pPr>
      <w:r>
        <w:t xml:space="preserve">Y compris subventions à un délégataire de Service Public. </w:t>
      </w:r>
    </w:p>
    <w:p w14:paraId="03931E20" w14:textId="77777777" w:rsidR="00B53F3A" w:rsidRDefault="00B53F3A" w:rsidP="00B53F3A">
      <w:pPr>
        <w:pStyle w:val="Sansinterligne"/>
        <w:jc w:val="both"/>
      </w:pPr>
    </w:p>
    <w:p w14:paraId="3DF76613" w14:textId="77777777" w:rsidR="00B53F3A" w:rsidRPr="002C70D5" w:rsidRDefault="00B53F3A" w:rsidP="00B53F3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Options de coûts simplifiés</w:t>
      </w:r>
    </w:p>
    <w:p w14:paraId="5713C66F" w14:textId="77777777" w:rsidR="00B53F3A" w:rsidRDefault="00B53F3A" w:rsidP="00B53F3A">
      <w:pPr>
        <w:pStyle w:val="Sansinterligne"/>
        <w:jc w:val="both"/>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B53F3A" w14:paraId="68810BDB" w14:textId="77777777" w:rsidTr="000B288C">
        <w:tc>
          <w:tcPr>
            <w:tcW w:w="785" w:type="dxa"/>
            <w:gridSpan w:val="2"/>
            <w:tcBorders>
              <w:top w:val="nil"/>
              <w:left w:val="nil"/>
              <w:right w:val="nil"/>
            </w:tcBorders>
          </w:tcPr>
          <w:p w14:paraId="2CB080DE" w14:textId="77777777" w:rsidR="00B53F3A" w:rsidRDefault="00B53F3A" w:rsidP="000B288C">
            <w:pPr>
              <w:pStyle w:val="Sansinterligne"/>
              <w:jc w:val="both"/>
            </w:pPr>
          </w:p>
        </w:tc>
        <w:tc>
          <w:tcPr>
            <w:tcW w:w="8287" w:type="dxa"/>
            <w:tcBorders>
              <w:top w:val="nil"/>
              <w:left w:val="nil"/>
            </w:tcBorders>
            <w:vAlign w:val="center"/>
          </w:tcPr>
          <w:p w14:paraId="0A4C97BF" w14:textId="77777777" w:rsidR="00B53F3A" w:rsidRPr="00903E4B" w:rsidRDefault="00B53F3A" w:rsidP="000B288C">
            <w:pPr>
              <w:pStyle w:val="Sansinterligne"/>
              <w:rPr>
                <w:b/>
                <w:bCs/>
                <w:color w:val="002060"/>
              </w:rPr>
            </w:pPr>
          </w:p>
        </w:tc>
        <w:tc>
          <w:tcPr>
            <w:tcW w:w="1423" w:type="dxa"/>
            <w:tcBorders>
              <w:left w:val="nil"/>
            </w:tcBorders>
            <w:vAlign w:val="center"/>
          </w:tcPr>
          <w:p w14:paraId="37663EB9" w14:textId="77777777" w:rsidR="00B53F3A" w:rsidRPr="00903E4B" w:rsidRDefault="00B53F3A" w:rsidP="000B288C">
            <w:pPr>
              <w:pStyle w:val="Sansinterligne"/>
              <w:jc w:val="center"/>
              <w:rPr>
                <w:b/>
                <w:bCs/>
                <w:color w:val="002060"/>
              </w:rPr>
            </w:pPr>
            <w:r>
              <w:rPr>
                <w:b/>
                <w:bCs/>
                <w:color w:val="002060"/>
              </w:rPr>
              <w:t>Mobilisable sur l’action</w:t>
            </w:r>
          </w:p>
        </w:tc>
      </w:tr>
      <w:tr w:rsidR="00B53F3A" w14:paraId="2CB0F526" w14:textId="77777777" w:rsidTr="000B288C">
        <w:tc>
          <w:tcPr>
            <w:tcW w:w="9072" w:type="dxa"/>
            <w:gridSpan w:val="3"/>
            <w:vAlign w:val="center"/>
          </w:tcPr>
          <w:p w14:paraId="39B0C9CB" w14:textId="77777777" w:rsidR="00B53F3A" w:rsidRDefault="00B53F3A" w:rsidP="000B288C">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423" w:type="dxa"/>
            <w:vAlign w:val="center"/>
          </w:tcPr>
          <w:p w14:paraId="4E3A468A" w14:textId="77777777" w:rsidR="00B53F3A" w:rsidRPr="00903E4B" w:rsidRDefault="00B53F3A" w:rsidP="000B288C">
            <w:pPr>
              <w:pStyle w:val="Sansinterligne"/>
              <w:jc w:val="center"/>
              <w:rPr>
                <w:b/>
                <w:bCs/>
                <w:color w:val="002060"/>
              </w:rPr>
            </w:pPr>
            <w:r w:rsidRPr="009325D3">
              <w:rPr>
                <w:rFonts w:ascii="Calibri" w:hAnsi="Calibri" w:cs="Calibri"/>
                <w:b/>
                <w:bCs/>
                <w:noProof/>
                <w:color w:val="002060"/>
              </w:rPr>
              <w:drawing>
                <wp:inline distT="0" distB="0" distL="0" distR="0" wp14:anchorId="135406EA" wp14:editId="1999FFC0">
                  <wp:extent cx="262393" cy="262393"/>
                  <wp:effectExtent l="0" t="0" r="4445" b="4445"/>
                  <wp:docPr id="394" name="Picture 39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B53F3A" w14:paraId="1A7B0CED" w14:textId="77777777" w:rsidTr="000B288C">
        <w:tc>
          <w:tcPr>
            <w:tcW w:w="284" w:type="dxa"/>
            <w:tcBorders>
              <w:right w:val="nil"/>
            </w:tcBorders>
          </w:tcPr>
          <w:p w14:paraId="1BB9848E" w14:textId="77777777" w:rsidR="00B53F3A" w:rsidRDefault="00B53F3A" w:rsidP="000B288C">
            <w:pPr>
              <w:pStyle w:val="Sansinterligne"/>
              <w:jc w:val="both"/>
            </w:pPr>
          </w:p>
        </w:tc>
        <w:tc>
          <w:tcPr>
            <w:tcW w:w="8788" w:type="dxa"/>
            <w:gridSpan w:val="2"/>
            <w:tcBorders>
              <w:left w:val="nil"/>
            </w:tcBorders>
            <w:vAlign w:val="center"/>
          </w:tcPr>
          <w:p w14:paraId="371EF595" w14:textId="77777777" w:rsidR="00B53F3A" w:rsidRDefault="00B53F3A" w:rsidP="000B288C">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423" w:type="dxa"/>
            <w:vAlign w:val="center"/>
          </w:tcPr>
          <w:p w14:paraId="39C01F3C" w14:textId="77777777" w:rsidR="00B53F3A" w:rsidRDefault="00B53F3A" w:rsidP="000B288C">
            <w:pPr>
              <w:pStyle w:val="Sansinterligne"/>
              <w:jc w:val="center"/>
            </w:pPr>
            <w:r>
              <w:rPr>
                <w:b/>
                <w:bCs/>
                <w:noProof/>
                <w:color w:val="002060"/>
              </w:rPr>
              <w:drawing>
                <wp:inline distT="0" distB="0" distL="0" distR="0" wp14:anchorId="43F519D4" wp14:editId="2CECB2E2">
                  <wp:extent cx="230588" cy="230588"/>
                  <wp:effectExtent l="0" t="0" r="0" b="0"/>
                  <wp:docPr id="784945644" name="Picture 78494564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77786DFC" w14:textId="77777777" w:rsidTr="000B288C">
        <w:tc>
          <w:tcPr>
            <w:tcW w:w="284" w:type="dxa"/>
            <w:tcBorders>
              <w:right w:val="nil"/>
            </w:tcBorders>
          </w:tcPr>
          <w:p w14:paraId="7DABA88D" w14:textId="77777777" w:rsidR="00B53F3A" w:rsidRDefault="00B53F3A" w:rsidP="000B288C">
            <w:pPr>
              <w:pStyle w:val="Sansinterligne"/>
              <w:jc w:val="both"/>
            </w:pPr>
          </w:p>
        </w:tc>
        <w:tc>
          <w:tcPr>
            <w:tcW w:w="8788" w:type="dxa"/>
            <w:gridSpan w:val="2"/>
            <w:tcBorders>
              <w:left w:val="nil"/>
            </w:tcBorders>
            <w:vAlign w:val="center"/>
          </w:tcPr>
          <w:p w14:paraId="3D6E1BDD" w14:textId="77777777" w:rsidR="00B53F3A" w:rsidRDefault="00B53F3A" w:rsidP="000B288C">
            <w:pPr>
              <w:pStyle w:val="Sansinterligne"/>
            </w:pPr>
            <w:r w:rsidRPr="00C57CAD">
              <w:rPr>
                <w:b/>
                <w:bCs/>
              </w:rPr>
              <w:t>Taux de 15% :</w:t>
            </w:r>
            <w:r>
              <w:t xml:space="preserve"> </w:t>
            </w:r>
            <w:r w:rsidRPr="00903E4B">
              <w:t>forfaitise les coûts indirects dans la limite de 15% des coûts directs de personnel</w:t>
            </w:r>
          </w:p>
        </w:tc>
        <w:tc>
          <w:tcPr>
            <w:tcW w:w="1423" w:type="dxa"/>
            <w:vAlign w:val="center"/>
          </w:tcPr>
          <w:p w14:paraId="442FC3D4" w14:textId="77777777" w:rsidR="00B53F3A" w:rsidRDefault="00B53F3A" w:rsidP="000B288C">
            <w:pPr>
              <w:pStyle w:val="Sansinterligne"/>
              <w:jc w:val="center"/>
            </w:pPr>
            <w:r>
              <w:rPr>
                <w:b/>
                <w:bCs/>
                <w:noProof/>
                <w:color w:val="002060"/>
              </w:rPr>
              <w:drawing>
                <wp:inline distT="0" distB="0" distL="0" distR="0" wp14:anchorId="0F974BEA" wp14:editId="3A48123F">
                  <wp:extent cx="230588" cy="230588"/>
                  <wp:effectExtent l="0" t="0" r="0" b="0"/>
                  <wp:docPr id="784945668" name="Picture 78494566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0845B7A4" w14:textId="77777777" w:rsidTr="000B288C">
        <w:tc>
          <w:tcPr>
            <w:tcW w:w="284" w:type="dxa"/>
            <w:tcBorders>
              <w:right w:val="nil"/>
            </w:tcBorders>
          </w:tcPr>
          <w:p w14:paraId="622051CF" w14:textId="77777777" w:rsidR="00B53F3A" w:rsidRDefault="00B53F3A" w:rsidP="000B288C">
            <w:pPr>
              <w:pStyle w:val="Sansinterligne"/>
              <w:jc w:val="both"/>
            </w:pPr>
          </w:p>
        </w:tc>
        <w:tc>
          <w:tcPr>
            <w:tcW w:w="8788" w:type="dxa"/>
            <w:gridSpan w:val="2"/>
            <w:tcBorders>
              <w:left w:val="nil"/>
            </w:tcBorders>
            <w:vAlign w:val="center"/>
          </w:tcPr>
          <w:p w14:paraId="0CEF5662" w14:textId="77777777" w:rsidR="00B53F3A" w:rsidRDefault="00B53F3A" w:rsidP="000B288C">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423" w:type="dxa"/>
            <w:vAlign w:val="center"/>
          </w:tcPr>
          <w:p w14:paraId="54D19B75" w14:textId="77777777" w:rsidR="00B53F3A" w:rsidRDefault="00B53F3A" w:rsidP="000B288C">
            <w:pPr>
              <w:pStyle w:val="Sansinterligne"/>
              <w:jc w:val="center"/>
            </w:pPr>
            <w:r>
              <w:rPr>
                <w:b/>
                <w:bCs/>
                <w:noProof/>
                <w:color w:val="002060"/>
              </w:rPr>
              <w:drawing>
                <wp:inline distT="0" distB="0" distL="0" distR="0" wp14:anchorId="79F0C43D" wp14:editId="24A551B2">
                  <wp:extent cx="230588" cy="230588"/>
                  <wp:effectExtent l="0" t="0" r="0" b="0"/>
                  <wp:docPr id="784945669" name="Picture 78494566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2F5E0A69" w14:textId="77777777" w:rsidTr="000B288C">
        <w:tc>
          <w:tcPr>
            <w:tcW w:w="284" w:type="dxa"/>
            <w:tcBorders>
              <w:right w:val="nil"/>
            </w:tcBorders>
          </w:tcPr>
          <w:p w14:paraId="75A2C3C6" w14:textId="77777777" w:rsidR="00B53F3A" w:rsidRDefault="00B53F3A" w:rsidP="000B288C">
            <w:pPr>
              <w:pStyle w:val="Sansinterligne"/>
              <w:jc w:val="both"/>
            </w:pPr>
          </w:p>
        </w:tc>
        <w:tc>
          <w:tcPr>
            <w:tcW w:w="8788" w:type="dxa"/>
            <w:gridSpan w:val="2"/>
            <w:tcBorders>
              <w:left w:val="nil"/>
            </w:tcBorders>
            <w:vAlign w:val="center"/>
          </w:tcPr>
          <w:p w14:paraId="003D81CA" w14:textId="77777777" w:rsidR="00B53F3A" w:rsidRDefault="00B53F3A" w:rsidP="000B288C">
            <w:pPr>
              <w:pStyle w:val="Sansinterligne"/>
            </w:pPr>
            <w:r w:rsidRPr="00C57CAD">
              <w:rPr>
                <w:b/>
                <w:bCs/>
              </w:rPr>
              <w:t>Taux de 7% :</w:t>
            </w:r>
            <w:r>
              <w:t xml:space="preserve"> </w:t>
            </w:r>
            <w:r w:rsidRPr="00903E4B">
              <w:t>forfaitise les coûts indirects dans la limite de 7% des coûts directs</w:t>
            </w:r>
          </w:p>
        </w:tc>
        <w:tc>
          <w:tcPr>
            <w:tcW w:w="1423" w:type="dxa"/>
            <w:vAlign w:val="center"/>
          </w:tcPr>
          <w:p w14:paraId="52A8C36D" w14:textId="77777777" w:rsidR="00B53F3A" w:rsidRDefault="00B53F3A" w:rsidP="000B288C">
            <w:pPr>
              <w:pStyle w:val="Sansinterligne"/>
              <w:jc w:val="center"/>
            </w:pPr>
            <w:r w:rsidRPr="009325D3">
              <w:rPr>
                <w:rFonts w:ascii="Calibri" w:hAnsi="Calibri" w:cs="Calibri"/>
                <w:b/>
                <w:bCs/>
                <w:noProof/>
                <w:color w:val="002060"/>
              </w:rPr>
              <w:drawing>
                <wp:inline distT="0" distB="0" distL="0" distR="0" wp14:anchorId="753BE51D" wp14:editId="15D1865E">
                  <wp:extent cx="262393" cy="262393"/>
                  <wp:effectExtent l="0" t="0" r="4445" b="4445"/>
                  <wp:docPr id="174" name="Picture 17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B53F3A" w14:paraId="7F375D9F" w14:textId="77777777" w:rsidTr="000B288C">
        <w:tc>
          <w:tcPr>
            <w:tcW w:w="284" w:type="dxa"/>
            <w:tcBorders>
              <w:right w:val="nil"/>
            </w:tcBorders>
          </w:tcPr>
          <w:p w14:paraId="45C22FE4" w14:textId="77777777" w:rsidR="00B53F3A" w:rsidRDefault="00B53F3A" w:rsidP="000B288C">
            <w:pPr>
              <w:pStyle w:val="Sansinterligne"/>
              <w:jc w:val="both"/>
            </w:pPr>
          </w:p>
        </w:tc>
        <w:tc>
          <w:tcPr>
            <w:tcW w:w="8788" w:type="dxa"/>
            <w:gridSpan w:val="2"/>
            <w:tcBorders>
              <w:left w:val="nil"/>
            </w:tcBorders>
            <w:vAlign w:val="center"/>
          </w:tcPr>
          <w:p w14:paraId="45B41E30" w14:textId="77777777" w:rsidR="00B53F3A" w:rsidRPr="00903E4B" w:rsidRDefault="00B53F3A" w:rsidP="000B288C">
            <w:pPr>
              <w:pStyle w:val="Sansinterligne"/>
            </w:pPr>
            <w:r>
              <w:t>T</w:t>
            </w:r>
            <w:r w:rsidRPr="00903E4B">
              <w:t>aux forfaitaire(s) applicable(s) dans d’autres politiques de l’UE pour des opérations similaires</w:t>
            </w:r>
          </w:p>
        </w:tc>
        <w:tc>
          <w:tcPr>
            <w:tcW w:w="1423" w:type="dxa"/>
            <w:vAlign w:val="center"/>
          </w:tcPr>
          <w:p w14:paraId="29F6E18B" w14:textId="77777777" w:rsidR="00B53F3A" w:rsidRDefault="00B53F3A" w:rsidP="000B288C">
            <w:pPr>
              <w:pStyle w:val="Sansinterligne"/>
              <w:jc w:val="center"/>
            </w:pPr>
            <w:r>
              <w:rPr>
                <w:b/>
                <w:bCs/>
                <w:noProof/>
                <w:color w:val="002060"/>
              </w:rPr>
              <w:drawing>
                <wp:inline distT="0" distB="0" distL="0" distR="0" wp14:anchorId="221C8F4E" wp14:editId="3CB25DEE">
                  <wp:extent cx="230588" cy="230588"/>
                  <wp:effectExtent l="0" t="0" r="0" b="0"/>
                  <wp:docPr id="784945671" name="Picture 78494567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42750F0B" w14:textId="77777777" w:rsidTr="000B288C">
        <w:tc>
          <w:tcPr>
            <w:tcW w:w="9072" w:type="dxa"/>
            <w:gridSpan w:val="3"/>
            <w:vAlign w:val="center"/>
          </w:tcPr>
          <w:p w14:paraId="0A0F8B96" w14:textId="77777777" w:rsidR="00B53F3A" w:rsidRPr="00903E4B" w:rsidRDefault="00B53F3A" w:rsidP="000B288C">
            <w:pPr>
              <w:pStyle w:val="Sansinterligne"/>
              <w:rPr>
                <w:b/>
                <w:bCs/>
                <w:color w:val="002060"/>
              </w:rPr>
            </w:pPr>
            <w:r w:rsidRPr="00903E4B">
              <w:rPr>
                <w:b/>
                <w:bCs/>
                <w:color w:val="002060"/>
              </w:rPr>
              <w:t>Montants forfaitaires</w:t>
            </w:r>
          </w:p>
        </w:tc>
        <w:tc>
          <w:tcPr>
            <w:tcW w:w="1423" w:type="dxa"/>
            <w:vAlign w:val="center"/>
          </w:tcPr>
          <w:p w14:paraId="116A9F7C" w14:textId="77777777" w:rsidR="00B53F3A" w:rsidRPr="00903E4B" w:rsidRDefault="00B53F3A" w:rsidP="000B288C">
            <w:pPr>
              <w:pStyle w:val="Sansinterligne"/>
              <w:jc w:val="center"/>
              <w:rPr>
                <w:b/>
                <w:bCs/>
                <w:color w:val="002060"/>
              </w:rPr>
            </w:pPr>
            <w:r>
              <w:rPr>
                <w:b/>
                <w:bCs/>
                <w:noProof/>
                <w:color w:val="002060"/>
              </w:rPr>
              <w:drawing>
                <wp:inline distT="0" distB="0" distL="0" distR="0" wp14:anchorId="21CA4EF3" wp14:editId="694391CC">
                  <wp:extent cx="230588" cy="230588"/>
                  <wp:effectExtent l="0" t="0" r="0" b="0"/>
                  <wp:docPr id="784945573" name="Picture 78494557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75EBDEBF" w14:textId="77777777" w:rsidTr="000B288C">
        <w:tc>
          <w:tcPr>
            <w:tcW w:w="9072" w:type="dxa"/>
            <w:gridSpan w:val="3"/>
            <w:vAlign w:val="center"/>
          </w:tcPr>
          <w:p w14:paraId="1FCEFF47" w14:textId="77777777" w:rsidR="00B53F3A" w:rsidRPr="00903E4B" w:rsidRDefault="00B53F3A" w:rsidP="000B288C">
            <w:pPr>
              <w:pStyle w:val="Sansinterligne"/>
              <w:rPr>
                <w:b/>
                <w:bCs/>
                <w:color w:val="002060"/>
              </w:rPr>
            </w:pPr>
            <w:r w:rsidRPr="00903E4B">
              <w:rPr>
                <w:b/>
                <w:bCs/>
                <w:color w:val="002060"/>
              </w:rPr>
              <w:t>Barème standard de coût unitaire</w:t>
            </w:r>
          </w:p>
        </w:tc>
        <w:tc>
          <w:tcPr>
            <w:tcW w:w="1423" w:type="dxa"/>
            <w:vAlign w:val="center"/>
          </w:tcPr>
          <w:p w14:paraId="6323F7F2" w14:textId="77777777" w:rsidR="00B53F3A" w:rsidRPr="00903E4B" w:rsidRDefault="00B53F3A" w:rsidP="000B288C">
            <w:pPr>
              <w:pStyle w:val="Sansinterligne"/>
              <w:jc w:val="center"/>
              <w:rPr>
                <w:b/>
                <w:bCs/>
                <w:color w:val="002060"/>
              </w:rPr>
            </w:pPr>
            <w:r>
              <w:rPr>
                <w:b/>
                <w:bCs/>
                <w:noProof/>
                <w:color w:val="002060"/>
              </w:rPr>
              <w:drawing>
                <wp:inline distT="0" distB="0" distL="0" distR="0" wp14:anchorId="603D30EC" wp14:editId="268ACA91">
                  <wp:extent cx="246490" cy="246490"/>
                  <wp:effectExtent l="0" t="0" r="1270" b="1270"/>
                  <wp:docPr id="784945574" name="Picture 78494557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74CD2B70" w14:textId="77777777" w:rsidR="00B53F3A" w:rsidRDefault="00B53F3A" w:rsidP="00B53F3A">
      <w:pPr>
        <w:pStyle w:val="Sansinterligne"/>
        <w:jc w:val="both"/>
      </w:pPr>
    </w:p>
    <w:p w14:paraId="7E0850CF" w14:textId="77777777" w:rsidR="00B53F3A" w:rsidRPr="002C70D5" w:rsidRDefault="00B53F3A" w:rsidP="00B53F3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Taux d’aide applicables et seuils d’intervention FEDER</w:t>
      </w:r>
    </w:p>
    <w:p w14:paraId="20110F69" w14:textId="77777777" w:rsidR="00B53F3A" w:rsidRDefault="00B53F3A" w:rsidP="00B53F3A">
      <w:pPr>
        <w:pStyle w:val="Sansinterligne"/>
        <w:jc w:val="both"/>
      </w:pPr>
    </w:p>
    <w:tbl>
      <w:tblPr>
        <w:tblStyle w:val="Grilledutableau"/>
        <w:tblW w:w="10485" w:type="dxa"/>
        <w:tblLook w:val="04A0" w:firstRow="1" w:lastRow="0" w:firstColumn="1" w:lastColumn="0" w:noHBand="0" w:noVBand="1"/>
      </w:tblPr>
      <w:tblGrid>
        <w:gridCol w:w="3697"/>
        <w:gridCol w:w="711"/>
        <w:gridCol w:w="6077"/>
      </w:tblGrid>
      <w:tr w:rsidR="00B53F3A" w14:paraId="4684EFBC" w14:textId="77777777" w:rsidTr="000B288C">
        <w:trPr>
          <w:trHeight w:val="725"/>
        </w:trPr>
        <w:tc>
          <w:tcPr>
            <w:tcW w:w="3697" w:type="dxa"/>
            <w:vAlign w:val="center"/>
          </w:tcPr>
          <w:p w14:paraId="4988EC83" w14:textId="77777777" w:rsidR="00B53F3A" w:rsidRPr="007C7EF5" w:rsidRDefault="00B53F3A" w:rsidP="000B288C">
            <w:pPr>
              <w:pStyle w:val="Sansinterligne"/>
              <w:jc w:val="center"/>
              <w:rPr>
                <w:b/>
                <w:bCs/>
              </w:rPr>
            </w:pPr>
            <w:r w:rsidRPr="007C7EF5">
              <w:rPr>
                <w:b/>
                <w:bCs/>
              </w:rPr>
              <w:t>Taux maximum indicatif FEDER du coût total éligible</w:t>
            </w:r>
          </w:p>
          <w:p w14:paraId="24E62E5D" w14:textId="77777777" w:rsidR="00B53F3A" w:rsidRDefault="00B53F3A" w:rsidP="000B288C">
            <w:pPr>
              <w:pStyle w:val="Sansinterligne"/>
              <w:jc w:val="center"/>
            </w:pPr>
            <w:r w:rsidRPr="007C7EF5">
              <w:rPr>
                <w:sz w:val="20"/>
                <w:szCs w:val="20"/>
              </w:rPr>
              <w:t>(</w:t>
            </w:r>
            <w:proofErr w:type="gramStart"/>
            <w:r w:rsidRPr="007C7EF5">
              <w:rPr>
                <w:sz w:val="20"/>
                <w:szCs w:val="20"/>
              </w:rPr>
              <w:t>sous</w:t>
            </w:r>
            <w:proofErr w:type="gramEnd"/>
            <w:r w:rsidRPr="007C7EF5">
              <w:rPr>
                <w:sz w:val="20"/>
                <w:szCs w:val="20"/>
              </w:rPr>
              <w:t xml:space="preserve"> réserve de la règlementation en matière d’aide d’Etat)</w:t>
            </w:r>
          </w:p>
        </w:tc>
        <w:tc>
          <w:tcPr>
            <w:tcW w:w="711" w:type="dxa"/>
            <w:vAlign w:val="center"/>
          </w:tcPr>
          <w:p w14:paraId="2D8D7848" w14:textId="77777777" w:rsidR="00B53F3A" w:rsidRPr="007C7EF5" w:rsidRDefault="00B53F3A" w:rsidP="000B288C">
            <w:pPr>
              <w:pStyle w:val="Sansinterligne"/>
              <w:jc w:val="center"/>
              <w:rPr>
                <w:b/>
                <w:bCs/>
              </w:rPr>
            </w:pPr>
            <w:r w:rsidRPr="007C7EF5">
              <w:rPr>
                <w:b/>
                <w:bCs/>
                <w:color w:val="00B050"/>
              </w:rPr>
              <w:t>60%</w:t>
            </w:r>
          </w:p>
        </w:tc>
        <w:tc>
          <w:tcPr>
            <w:tcW w:w="6077" w:type="dxa"/>
            <w:vAlign w:val="center"/>
          </w:tcPr>
          <w:p w14:paraId="274C3B79" w14:textId="77777777" w:rsidR="00B53F3A" w:rsidRPr="007C7EF5" w:rsidRDefault="00B53F3A" w:rsidP="000B288C">
            <w:pPr>
              <w:pStyle w:val="Sansinterligne"/>
              <w:rPr>
                <w:b/>
                <w:bCs/>
              </w:rPr>
            </w:pPr>
            <w:r w:rsidRPr="007C7EF5">
              <w:rPr>
                <w:b/>
                <w:bCs/>
              </w:rPr>
              <w:t xml:space="preserve">Régimes d’aides applicables : </w:t>
            </w:r>
          </w:p>
          <w:p w14:paraId="32925837" w14:textId="77777777" w:rsidR="00B53F3A" w:rsidRPr="007C7EF5" w:rsidRDefault="00B53F3A" w:rsidP="000B288C">
            <w:pPr>
              <w:pStyle w:val="Sansinterligne"/>
              <w:numPr>
                <w:ilvl w:val="0"/>
                <w:numId w:val="1"/>
              </w:numPr>
              <w:rPr>
                <w:sz w:val="20"/>
                <w:szCs w:val="20"/>
              </w:rPr>
            </w:pPr>
            <w:r w:rsidRPr="007C7EF5">
              <w:rPr>
                <w:sz w:val="20"/>
                <w:szCs w:val="20"/>
              </w:rPr>
              <w:t xml:space="preserve">Toute base juridique pertinente, notamment en recherche, développement et innovation (RDI). </w:t>
            </w:r>
          </w:p>
          <w:p w14:paraId="334F05DB" w14:textId="77777777" w:rsidR="00B53F3A" w:rsidRPr="007C7EF5" w:rsidRDefault="00B53F3A" w:rsidP="000B288C">
            <w:pPr>
              <w:pStyle w:val="Sansinterligne"/>
              <w:numPr>
                <w:ilvl w:val="0"/>
                <w:numId w:val="1"/>
              </w:numPr>
              <w:rPr>
                <w:sz w:val="20"/>
                <w:szCs w:val="20"/>
              </w:rPr>
            </w:pPr>
            <w:r w:rsidRPr="007C7EF5">
              <w:rPr>
                <w:sz w:val="20"/>
                <w:szCs w:val="20"/>
              </w:rPr>
              <w:t xml:space="preserve">Régime Général d’Exemption par Catégorie (RGEC) n°651/2014 du 17 juin 2014. </w:t>
            </w:r>
          </w:p>
          <w:p w14:paraId="79A06E28" w14:textId="77777777" w:rsidR="00B53F3A" w:rsidRPr="007C7EF5" w:rsidRDefault="00B53F3A" w:rsidP="000B288C">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1AAEFF4D" w14:textId="77777777" w:rsidR="00B53F3A" w:rsidRDefault="00B53F3A" w:rsidP="000B288C">
            <w:pPr>
              <w:pStyle w:val="Sansinterligne"/>
              <w:numPr>
                <w:ilvl w:val="0"/>
                <w:numId w:val="1"/>
              </w:numPr>
            </w:pPr>
            <w:r w:rsidRPr="007C7EF5">
              <w:rPr>
                <w:sz w:val="20"/>
                <w:szCs w:val="20"/>
              </w:rPr>
              <w:t xml:space="preserve">Règlement (UE) n°1407/2013 du 18 décembre 2013 relatif aux aides de minimis. </w:t>
            </w:r>
          </w:p>
        </w:tc>
      </w:tr>
    </w:tbl>
    <w:p w14:paraId="62C70FDC" w14:textId="77777777" w:rsidR="00B53F3A" w:rsidRDefault="00B53F3A" w:rsidP="00B53F3A">
      <w:pPr>
        <w:pStyle w:val="Sansinterligne"/>
        <w:jc w:val="both"/>
      </w:pPr>
    </w:p>
    <w:p w14:paraId="09B85F4A" w14:textId="77777777" w:rsidR="00B53F3A" w:rsidRPr="002C70D5" w:rsidRDefault="00B53F3A" w:rsidP="00B53F3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Autres cofinanceurs mobilisables (liste non exhaustive)</w:t>
      </w:r>
    </w:p>
    <w:p w14:paraId="012C50BC" w14:textId="77777777" w:rsidR="00B53F3A" w:rsidRDefault="00B53F3A" w:rsidP="00B53F3A">
      <w:pPr>
        <w:pStyle w:val="Sansinterligne"/>
        <w:ind w:left="720"/>
        <w:jc w:val="both"/>
      </w:pPr>
    </w:p>
    <w:p w14:paraId="1C21EE47" w14:textId="77777777" w:rsidR="00B53F3A" w:rsidRPr="00971D9D" w:rsidRDefault="00B53F3A" w:rsidP="00B53F3A">
      <w:pPr>
        <w:pStyle w:val="Sansinterligne"/>
        <w:numPr>
          <w:ilvl w:val="0"/>
          <w:numId w:val="1"/>
        </w:numPr>
        <w:jc w:val="both"/>
      </w:pPr>
      <w:r w:rsidRPr="00971D9D">
        <w:t xml:space="preserve">Etat (FSN), </w:t>
      </w:r>
    </w:p>
    <w:p w14:paraId="5CBED330" w14:textId="77777777" w:rsidR="00B53F3A" w:rsidRPr="00971D9D" w:rsidRDefault="00B53F3A" w:rsidP="00B53F3A">
      <w:pPr>
        <w:pStyle w:val="Sansinterligne"/>
        <w:numPr>
          <w:ilvl w:val="0"/>
          <w:numId w:val="1"/>
        </w:numPr>
        <w:jc w:val="both"/>
      </w:pPr>
      <w:r w:rsidRPr="00971D9D">
        <w:t xml:space="preserve">Conseil Régional, </w:t>
      </w:r>
    </w:p>
    <w:p w14:paraId="1FB8C306" w14:textId="77777777" w:rsidR="00B53F3A" w:rsidRPr="00971D9D" w:rsidRDefault="00B53F3A" w:rsidP="00B53F3A">
      <w:pPr>
        <w:pStyle w:val="Sansinterligne"/>
        <w:numPr>
          <w:ilvl w:val="0"/>
          <w:numId w:val="1"/>
        </w:numPr>
        <w:jc w:val="both"/>
      </w:pPr>
      <w:r w:rsidRPr="00971D9D">
        <w:t xml:space="preserve">Département, </w:t>
      </w:r>
    </w:p>
    <w:p w14:paraId="3C9F2BFA" w14:textId="71A49305" w:rsidR="00625D29" w:rsidRDefault="00B53F3A" w:rsidP="00625D29">
      <w:pPr>
        <w:pStyle w:val="Sansinterligne"/>
        <w:numPr>
          <w:ilvl w:val="0"/>
          <w:numId w:val="1"/>
        </w:numPr>
        <w:jc w:val="both"/>
      </w:pPr>
      <w:r w:rsidRPr="00971D9D">
        <w:t>EPCI</w:t>
      </w:r>
      <w:r>
        <w:t>.</w:t>
      </w:r>
    </w:p>
    <w:p w14:paraId="1D080093" w14:textId="77777777" w:rsidR="00B53F3A" w:rsidRPr="002C70D5" w:rsidRDefault="00B53F3A" w:rsidP="00B53F3A">
      <w:pPr>
        <w:pStyle w:val="Sansinterligne"/>
        <w:shd w:val="clear" w:color="auto" w:fill="E2CFF1"/>
        <w:jc w:val="both"/>
        <w:rPr>
          <w:b/>
          <w:bCs/>
          <w:sz w:val="28"/>
          <w:szCs w:val="28"/>
        </w:rPr>
      </w:pPr>
      <w:r w:rsidRPr="00DB5B1E">
        <w:rPr>
          <w:b/>
          <w:bCs/>
          <w:color w:val="FFFFFF" w:themeColor="background1"/>
          <w:sz w:val="28"/>
          <w:szCs w:val="28"/>
          <w:shd w:val="clear" w:color="auto" w:fill="7030A0"/>
        </w:rPr>
        <w:lastRenderedPageBreak/>
        <w:t>PERFORMANCE </w:t>
      </w:r>
      <w:r>
        <w:rPr>
          <w:b/>
          <w:bCs/>
          <w:sz w:val="28"/>
          <w:szCs w:val="28"/>
        </w:rPr>
        <w:t xml:space="preserve">  </w:t>
      </w:r>
      <w:r>
        <w:rPr>
          <w:b/>
          <w:bCs/>
          <w:color w:val="002060"/>
          <w:sz w:val="28"/>
          <w:szCs w:val="28"/>
        </w:rPr>
        <w:t>Indicateurs de réalisation et de résultat</w:t>
      </w:r>
    </w:p>
    <w:p w14:paraId="570ACA03" w14:textId="77777777" w:rsidR="00B53F3A" w:rsidRDefault="00B53F3A" w:rsidP="00B53F3A">
      <w:pPr>
        <w:pStyle w:val="Sansinterligne"/>
        <w:jc w:val="both"/>
        <w:rPr>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155"/>
        <w:gridCol w:w="890"/>
        <w:gridCol w:w="2486"/>
        <w:gridCol w:w="851"/>
        <w:gridCol w:w="1134"/>
        <w:gridCol w:w="3969"/>
      </w:tblGrid>
      <w:tr w:rsidR="00B53F3A" w:rsidRPr="00712476" w14:paraId="07F403BD" w14:textId="77777777" w:rsidTr="000B288C">
        <w:trPr>
          <w:trHeight w:val="432"/>
        </w:trPr>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F4C149" w14:textId="77777777" w:rsidR="00B53F3A" w:rsidRPr="00712476" w:rsidRDefault="00B53F3A" w:rsidP="000B288C">
            <w:pPr>
              <w:spacing w:after="0" w:line="240" w:lineRule="auto"/>
              <w:jc w:val="center"/>
              <w:rPr>
                <w:rFonts w:ascii="Calibri" w:eastAsia="Times New Roman" w:hAnsi="Calibri" w:cs="Calibri"/>
                <w:b/>
                <w:bCs/>
                <w:lang w:eastAsia="fr-FR"/>
              </w:rPr>
            </w:pPr>
            <w:r w:rsidRPr="00712476">
              <w:rPr>
                <w:rFonts w:ascii="Calibri" w:eastAsia="Times New Roman" w:hAnsi="Calibri" w:cs="Calibri"/>
                <w:b/>
                <w:bCs/>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6FA7F272" w14:textId="77777777" w:rsidR="00B53F3A" w:rsidRPr="00712476" w:rsidRDefault="00B53F3A" w:rsidP="000B288C">
            <w:pPr>
              <w:spacing w:after="0" w:line="240" w:lineRule="auto"/>
              <w:jc w:val="center"/>
              <w:rPr>
                <w:rFonts w:ascii="Calibri" w:eastAsia="Times New Roman" w:hAnsi="Calibri" w:cs="Calibri"/>
                <w:b/>
                <w:bCs/>
                <w:lang w:eastAsia="fr-FR"/>
              </w:rPr>
            </w:pPr>
            <w:r w:rsidRPr="00712476">
              <w:rPr>
                <w:rFonts w:ascii="Calibri" w:eastAsia="Times New Roman" w:hAnsi="Calibri" w:cs="Calibri"/>
                <w:b/>
                <w:bCs/>
                <w:lang w:eastAsia="fr-FR"/>
              </w:rPr>
              <w:t>Numéro</w:t>
            </w:r>
          </w:p>
        </w:tc>
        <w:tc>
          <w:tcPr>
            <w:tcW w:w="2486" w:type="dxa"/>
            <w:tcBorders>
              <w:top w:val="single" w:sz="4" w:space="0" w:color="auto"/>
              <w:left w:val="nil"/>
              <w:bottom w:val="single" w:sz="4" w:space="0" w:color="auto"/>
              <w:right w:val="single" w:sz="4" w:space="0" w:color="auto"/>
            </w:tcBorders>
            <w:shd w:val="clear" w:color="000000" w:fill="D9D9D9"/>
            <w:vAlign w:val="center"/>
            <w:hideMark/>
          </w:tcPr>
          <w:p w14:paraId="190CF2F5" w14:textId="77777777" w:rsidR="00B53F3A" w:rsidRPr="00712476" w:rsidRDefault="00B53F3A" w:rsidP="000B288C">
            <w:pPr>
              <w:spacing w:after="0" w:line="240" w:lineRule="auto"/>
              <w:jc w:val="center"/>
              <w:rPr>
                <w:rFonts w:ascii="Calibri" w:eastAsia="Times New Roman" w:hAnsi="Calibri" w:cs="Calibri"/>
                <w:b/>
                <w:bCs/>
                <w:lang w:eastAsia="fr-FR"/>
              </w:rPr>
            </w:pPr>
            <w:r w:rsidRPr="00712476">
              <w:rPr>
                <w:rFonts w:ascii="Calibri" w:eastAsia="Times New Roman" w:hAnsi="Calibri" w:cs="Calibri"/>
                <w:b/>
                <w:bCs/>
                <w:lang w:eastAsia="fr-FR"/>
              </w:rPr>
              <w:t>Intitulé</w:t>
            </w:r>
          </w:p>
        </w:tc>
        <w:tc>
          <w:tcPr>
            <w:tcW w:w="851" w:type="dxa"/>
            <w:tcBorders>
              <w:top w:val="single" w:sz="4" w:space="0" w:color="auto"/>
              <w:left w:val="nil"/>
              <w:bottom w:val="single" w:sz="4" w:space="0" w:color="auto"/>
              <w:right w:val="single" w:sz="4" w:space="0" w:color="auto"/>
            </w:tcBorders>
            <w:shd w:val="clear" w:color="000000" w:fill="DDEBF7"/>
            <w:vAlign w:val="center"/>
            <w:hideMark/>
          </w:tcPr>
          <w:p w14:paraId="20D15814" w14:textId="77777777" w:rsidR="00B53F3A" w:rsidRPr="00712476" w:rsidRDefault="00B53F3A" w:rsidP="000B288C">
            <w:pPr>
              <w:spacing w:after="0" w:line="240" w:lineRule="auto"/>
              <w:jc w:val="center"/>
              <w:rPr>
                <w:rFonts w:ascii="Calibri" w:eastAsia="Times New Roman" w:hAnsi="Calibri" w:cs="Calibri"/>
                <w:b/>
                <w:bCs/>
                <w:lang w:eastAsia="fr-FR"/>
              </w:rPr>
            </w:pPr>
            <w:r w:rsidRPr="00712476">
              <w:rPr>
                <w:rFonts w:ascii="Calibri" w:eastAsia="Times New Roman" w:hAnsi="Calibri" w:cs="Calibri"/>
                <w:b/>
                <w:bCs/>
                <w:lang w:eastAsia="fr-FR"/>
              </w:rPr>
              <w:t>Valeur 2024</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14:paraId="1A2CBE27" w14:textId="77777777" w:rsidR="00B53F3A" w:rsidRPr="00712476" w:rsidRDefault="00B53F3A" w:rsidP="000B288C">
            <w:pPr>
              <w:spacing w:after="0" w:line="240" w:lineRule="auto"/>
              <w:jc w:val="center"/>
              <w:rPr>
                <w:rFonts w:ascii="Calibri" w:eastAsia="Times New Roman" w:hAnsi="Calibri" w:cs="Calibri"/>
                <w:b/>
                <w:bCs/>
                <w:lang w:eastAsia="fr-FR"/>
              </w:rPr>
            </w:pPr>
            <w:r w:rsidRPr="00712476">
              <w:rPr>
                <w:rFonts w:ascii="Calibri" w:eastAsia="Times New Roman" w:hAnsi="Calibri" w:cs="Calibri"/>
                <w:b/>
                <w:bCs/>
                <w:lang w:eastAsia="fr-FR"/>
              </w:rPr>
              <w:t>Valeur 2029</w:t>
            </w:r>
          </w:p>
        </w:tc>
        <w:tc>
          <w:tcPr>
            <w:tcW w:w="3969" w:type="dxa"/>
            <w:tcBorders>
              <w:top w:val="single" w:sz="4" w:space="0" w:color="auto"/>
              <w:left w:val="nil"/>
              <w:bottom w:val="single" w:sz="4" w:space="0" w:color="auto"/>
              <w:right w:val="single" w:sz="4" w:space="0" w:color="auto"/>
            </w:tcBorders>
            <w:shd w:val="clear" w:color="000000" w:fill="FFFF00"/>
            <w:vAlign w:val="center"/>
            <w:hideMark/>
          </w:tcPr>
          <w:p w14:paraId="41878B33" w14:textId="77777777" w:rsidR="00B53F3A" w:rsidRPr="00712476" w:rsidRDefault="00B53F3A" w:rsidP="000B288C">
            <w:pPr>
              <w:spacing w:after="0" w:line="240" w:lineRule="auto"/>
              <w:jc w:val="center"/>
              <w:rPr>
                <w:rFonts w:ascii="Calibri" w:eastAsia="Times New Roman" w:hAnsi="Calibri" w:cs="Calibri"/>
                <w:b/>
                <w:bCs/>
                <w:lang w:eastAsia="fr-FR"/>
              </w:rPr>
            </w:pPr>
            <w:r w:rsidRPr="00712476">
              <w:rPr>
                <w:rFonts w:ascii="Calibri" w:eastAsia="Times New Roman" w:hAnsi="Calibri" w:cs="Calibri"/>
                <w:b/>
                <w:bCs/>
                <w:lang w:eastAsia="fr-FR"/>
              </w:rPr>
              <w:t>Pièces justificatives</w:t>
            </w:r>
          </w:p>
        </w:tc>
      </w:tr>
      <w:tr w:rsidR="00B53F3A" w:rsidRPr="00712476" w14:paraId="75586294" w14:textId="77777777" w:rsidTr="000B288C">
        <w:trPr>
          <w:trHeight w:val="1242"/>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374025D4" w14:textId="77777777" w:rsidR="00B53F3A" w:rsidRPr="00712476" w:rsidRDefault="00B53F3A" w:rsidP="000B288C">
            <w:pPr>
              <w:spacing w:after="0" w:line="240" w:lineRule="auto"/>
              <w:jc w:val="center"/>
              <w:rPr>
                <w:rFonts w:ascii="Calibri" w:eastAsia="Times New Roman" w:hAnsi="Calibri" w:cs="Calibri"/>
                <w:b/>
                <w:bCs/>
                <w:color w:val="5B9BD5"/>
                <w:lang w:eastAsia="fr-FR"/>
              </w:rPr>
            </w:pPr>
            <w:r w:rsidRPr="00712476">
              <w:rPr>
                <w:rFonts w:ascii="Calibri" w:eastAsia="Times New Roman" w:hAnsi="Calibri" w:cs="Calibri"/>
                <w:b/>
                <w:bCs/>
                <w:color w:val="5B9BD5"/>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32F80A63"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RCO41</w:t>
            </w:r>
          </w:p>
        </w:tc>
        <w:tc>
          <w:tcPr>
            <w:tcW w:w="2486" w:type="dxa"/>
            <w:tcBorders>
              <w:top w:val="nil"/>
              <w:left w:val="nil"/>
              <w:bottom w:val="single" w:sz="4" w:space="0" w:color="auto"/>
              <w:right w:val="single" w:sz="4" w:space="0" w:color="auto"/>
            </w:tcBorders>
            <w:shd w:val="clear" w:color="000000" w:fill="FFFFFF"/>
            <w:vAlign w:val="center"/>
            <w:hideMark/>
          </w:tcPr>
          <w:p w14:paraId="70B33FAB" w14:textId="77777777" w:rsidR="00B53F3A" w:rsidRPr="00712476" w:rsidRDefault="00B53F3A" w:rsidP="000B288C">
            <w:pPr>
              <w:spacing w:after="0" w:line="240" w:lineRule="auto"/>
              <w:rPr>
                <w:rFonts w:ascii="Calibri" w:eastAsia="Times New Roman" w:hAnsi="Calibri" w:cs="Calibri"/>
                <w:lang w:eastAsia="fr-FR"/>
              </w:rPr>
            </w:pPr>
            <w:r w:rsidRPr="00712476">
              <w:rPr>
                <w:rFonts w:ascii="Calibri" w:eastAsia="Times New Roman" w:hAnsi="Calibri" w:cs="Calibri"/>
                <w:lang w:eastAsia="fr-FR"/>
              </w:rPr>
              <w:t>Nombre supplémentaire de logements ayant accès au très haut débit</w:t>
            </w:r>
          </w:p>
        </w:tc>
        <w:tc>
          <w:tcPr>
            <w:tcW w:w="851" w:type="dxa"/>
            <w:tcBorders>
              <w:top w:val="nil"/>
              <w:left w:val="nil"/>
              <w:bottom w:val="single" w:sz="4" w:space="0" w:color="auto"/>
              <w:right w:val="single" w:sz="4" w:space="0" w:color="auto"/>
            </w:tcBorders>
            <w:shd w:val="clear" w:color="000000" w:fill="FFFFFF"/>
            <w:vAlign w:val="center"/>
            <w:hideMark/>
          </w:tcPr>
          <w:p w14:paraId="279E7CCE"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32 156</w:t>
            </w:r>
          </w:p>
        </w:tc>
        <w:tc>
          <w:tcPr>
            <w:tcW w:w="1134" w:type="dxa"/>
            <w:tcBorders>
              <w:top w:val="nil"/>
              <w:left w:val="nil"/>
              <w:bottom w:val="single" w:sz="4" w:space="0" w:color="auto"/>
              <w:right w:val="single" w:sz="4" w:space="0" w:color="auto"/>
            </w:tcBorders>
            <w:shd w:val="clear" w:color="000000" w:fill="FFFFFF"/>
            <w:vAlign w:val="center"/>
            <w:hideMark/>
          </w:tcPr>
          <w:p w14:paraId="0626C414"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44 955</w:t>
            </w:r>
          </w:p>
        </w:tc>
        <w:tc>
          <w:tcPr>
            <w:tcW w:w="3969" w:type="dxa"/>
            <w:tcBorders>
              <w:top w:val="nil"/>
              <w:left w:val="nil"/>
              <w:bottom w:val="single" w:sz="4" w:space="0" w:color="auto"/>
              <w:right w:val="single" w:sz="4" w:space="0" w:color="auto"/>
            </w:tcBorders>
            <w:shd w:val="clear" w:color="000000" w:fill="FFFFFF"/>
            <w:vAlign w:val="center"/>
            <w:hideMark/>
          </w:tcPr>
          <w:p w14:paraId="183CF38F"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Donnée vérifiée par le gestionnaire lors de la remise du bilan par le porteur sur la base des pièces justificatives permettant de justifier du raccordement à un très haut débit : informations préalables enrichies (fichiers IPE</w:t>
            </w:r>
          </w:p>
        </w:tc>
      </w:tr>
      <w:tr w:rsidR="00B53F3A" w:rsidRPr="00712476" w14:paraId="0F23B159" w14:textId="77777777" w:rsidTr="000B288C">
        <w:trPr>
          <w:trHeight w:val="583"/>
        </w:trPr>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AB95B" w14:textId="77777777" w:rsidR="00B53F3A" w:rsidRPr="00712476" w:rsidRDefault="00B53F3A" w:rsidP="000B288C">
            <w:pPr>
              <w:spacing w:after="0" w:line="240" w:lineRule="auto"/>
              <w:jc w:val="center"/>
              <w:rPr>
                <w:rFonts w:ascii="Calibri" w:eastAsia="Times New Roman" w:hAnsi="Calibri" w:cs="Calibri"/>
                <w:b/>
                <w:bCs/>
                <w:color w:val="5B9BD5"/>
                <w:lang w:eastAsia="fr-FR"/>
              </w:rPr>
            </w:pPr>
            <w:r w:rsidRPr="00712476">
              <w:rPr>
                <w:rFonts w:ascii="Calibri" w:eastAsia="Times New Roman" w:hAnsi="Calibri" w:cs="Calibri"/>
                <w:b/>
                <w:bCs/>
                <w:color w:val="5B9BD5"/>
                <w:lang w:eastAsia="fr-FR"/>
              </w:rPr>
              <w:t>Réalisation</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2E35BFFC"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RCO42</w:t>
            </w:r>
          </w:p>
        </w:tc>
        <w:tc>
          <w:tcPr>
            <w:tcW w:w="2486" w:type="dxa"/>
            <w:tcBorders>
              <w:top w:val="single" w:sz="4" w:space="0" w:color="auto"/>
              <w:left w:val="nil"/>
              <w:bottom w:val="single" w:sz="4" w:space="0" w:color="auto"/>
              <w:right w:val="single" w:sz="4" w:space="0" w:color="auto"/>
            </w:tcBorders>
            <w:shd w:val="clear" w:color="000000" w:fill="FFFFFF"/>
            <w:vAlign w:val="center"/>
            <w:hideMark/>
          </w:tcPr>
          <w:p w14:paraId="5F12FDE9" w14:textId="77777777" w:rsidR="00B53F3A" w:rsidRPr="00712476" w:rsidRDefault="00B53F3A" w:rsidP="000B288C">
            <w:pPr>
              <w:spacing w:after="0" w:line="240" w:lineRule="auto"/>
              <w:rPr>
                <w:rFonts w:ascii="Calibri" w:eastAsia="Times New Roman" w:hAnsi="Calibri" w:cs="Calibri"/>
                <w:lang w:eastAsia="fr-FR"/>
              </w:rPr>
            </w:pPr>
            <w:r w:rsidRPr="00712476">
              <w:rPr>
                <w:rFonts w:ascii="Calibri" w:eastAsia="Times New Roman" w:hAnsi="Calibri" w:cs="Calibri"/>
                <w:lang w:eastAsia="fr-FR"/>
              </w:rPr>
              <w:t>Nombre supplémentaire d’entreprises ayant accès au très haut débit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6A3CBE7"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1 245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4D24B37"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1 749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129C3ED8"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Documents permettant de justifier du raccordement à un très haut débit : informations préalables enrichies (fichiers IPE).</w:t>
            </w:r>
          </w:p>
        </w:tc>
      </w:tr>
      <w:tr w:rsidR="00B53F3A" w:rsidRPr="00712476" w14:paraId="34814F31" w14:textId="77777777" w:rsidTr="000B288C">
        <w:trPr>
          <w:trHeight w:val="1207"/>
        </w:trPr>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764BE" w14:textId="77777777" w:rsidR="00B53F3A" w:rsidRPr="00712476" w:rsidRDefault="00B53F3A" w:rsidP="000B288C">
            <w:pPr>
              <w:spacing w:after="0" w:line="240" w:lineRule="auto"/>
              <w:jc w:val="center"/>
              <w:rPr>
                <w:rFonts w:ascii="Calibri" w:eastAsia="Times New Roman" w:hAnsi="Calibri" w:cs="Calibri"/>
                <w:b/>
                <w:bCs/>
                <w:color w:val="70AD47"/>
                <w:lang w:eastAsia="fr-FR"/>
              </w:rPr>
            </w:pPr>
            <w:r w:rsidRPr="00712476">
              <w:rPr>
                <w:rFonts w:ascii="Calibri" w:eastAsia="Times New Roman" w:hAnsi="Calibri" w:cs="Calibri"/>
                <w:b/>
                <w:bCs/>
                <w:color w:val="70AD47"/>
                <w:lang w:eastAsia="fr-FR"/>
              </w:rPr>
              <w:t>Résultat</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1EC0BCD2"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SR03</w:t>
            </w:r>
          </w:p>
        </w:tc>
        <w:tc>
          <w:tcPr>
            <w:tcW w:w="2486" w:type="dxa"/>
            <w:tcBorders>
              <w:top w:val="single" w:sz="4" w:space="0" w:color="auto"/>
              <w:left w:val="nil"/>
              <w:bottom w:val="single" w:sz="4" w:space="0" w:color="auto"/>
              <w:right w:val="single" w:sz="4" w:space="0" w:color="auto"/>
            </w:tcBorders>
            <w:shd w:val="clear" w:color="000000" w:fill="FFFFFF"/>
            <w:vAlign w:val="center"/>
            <w:hideMark/>
          </w:tcPr>
          <w:p w14:paraId="63187810" w14:textId="77777777" w:rsidR="00B53F3A" w:rsidRPr="00712476" w:rsidRDefault="00B53F3A" w:rsidP="000B288C">
            <w:pPr>
              <w:spacing w:after="0" w:line="240" w:lineRule="auto"/>
              <w:rPr>
                <w:rFonts w:ascii="Calibri" w:eastAsia="Times New Roman" w:hAnsi="Calibri" w:cs="Calibri"/>
                <w:lang w:eastAsia="fr-FR"/>
              </w:rPr>
            </w:pPr>
            <w:r w:rsidRPr="00712476">
              <w:rPr>
                <w:rFonts w:ascii="Calibri" w:eastAsia="Times New Roman" w:hAnsi="Calibri" w:cs="Calibri"/>
                <w:lang w:eastAsia="fr-FR"/>
              </w:rPr>
              <w:t xml:space="preserve">Population </w:t>
            </w:r>
            <w:r>
              <w:rPr>
                <w:rFonts w:ascii="Calibri" w:eastAsia="Times New Roman" w:hAnsi="Calibri" w:cs="Calibri"/>
                <w:lang w:eastAsia="fr-FR"/>
              </w:rPr>
              <w:t xml:space="preserve">nouvellement </w:t>
            </w:r>
            <w:r w:rsidRPr="00712476">
              <w:rPr>
                <w:rFonts w:ascii="Calibri" w:eastAsia="Times New Roman" w:hAnsi="Calibri" w:cs="Calibri"/>
                <w:lang w:eastAsia="fr-FR"/>
              </w:rPr>
              <w:t>couverte avec un réseau large bande supérieur à 30 Mbps sur les territoires soutenus</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3CC2EB5C"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CCBF154"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100 699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56F5F33D" w14:textId="77777777" w:rsidR="00B53F3A" w:rsidRPr="00712476" w:rsidRDefault="00B53F3A" w:rsidP="000B288C">
            <w:pPr>
              <w:spacing w:after="0" w:line="240" w:lineRule="auto"/>
              <w:jc w:val="center"/>
              <w:rPr>
                <w:rFonts w:ascii="Calibri" w:eastAsia="Times New Roman" w:hAnsi="Calibri" w:cs="Calibri"/>
                <w:lang w:eastAsia="fr-FR"/>
              </w:rPr>
            </w:pPr>
            <w:r w:rsidRPr="00712476">
              <w:rPr>
                <w:rFonts w:ascii="Calibri" w:eastAsia="Times New Roman" w:hAnsi="Calibri" w:cs="Calibri"/>
                <w:lang w:eastAsia="fr-FR"/>
              </w:rPr>
              <w:t>Documents permettant de justifier du raccordement à une prise 30Mbps : procès-verbal signé, étude préalable des travaux, rapport technique établi par le chef de projet ou un expert à l'issue du projet</w:t>
            </w:r>
          </w:p>
        </w:tc>
      </w:tr>
    </w:tbl>
    <w:p w14:paraId="5FC7D115" w14:textId="77777777" w:rsidR="00B53F3A" w:rsidRDefault="00B53F3A" w:rsidP="00B53F3A">
      <w:pPr>
        <w:pStyle w:val="Sansinterligne"/>
        <w:jc w:val="both"/>
        <w:rPr>
          <w:b/>
          <w:bCs/>
          <w:color w:val="FFFFFF" w:themeColor="background1"/>
          <w:sz w:val="28"/>
          <w:szCs w:val="28"/>
          <w:shd w:val="clear" w:color="auto" w:fill="7030A0"/>
        </w:rPr>
      </w:pPr>
    </w:p>
    <w:p w14:paraId="0FACFB02" w14:textId="77777777" w:rsidR="00B53F3A" w:rsidRPr="002C70D5" w:rsidRDefault="00B53F3A" w:rsidP="00B53F3A">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Cibles</w:t>
      </w:r>
      <w:proofErr w:type="gramEnd"/>
      <w:r>
        <w:rPr>
          <w:b/>
          <w:bCs/>
          <w:color w:val="002060"/>
          <w:sz w:val="28"/>
          <w:szCs w:val="28"/>
        </w:rPr>
        <w:t xml:space="preserve"> financières à atteindre sur l’action</w:t>
      </w:r>
    </w:p>
    <w:p w14:paraId="7A26302C" w14:textId="77777777" w:rsidR="00B53F3A" w:rsidRDefault="00B53F3A" w:rsidP="00B53F3A">
      <w:pPr>
        <w:pStyle w:val="Sansinterligne"/>
        <w:jc w:val="both"/>
      </w:pPr>
    </w:p>
    <w:p w14:paraId="26130DE2" w14:textId="77777777" w:rsidR="00B53F3A" w:rsidRPr="003077B1" w:rsidRDefault="00B53F3A" w:rsidP="00B53F3A">
      <w:pPr>
        <w:pStyle w:val="Sansinterligne"/>
        <w:jc w:val="both"/>
        <w:rPr>
          <w:b/>
          <w:bCs/>
        </w:rPr>
      </w:pPr>
      <w:r>
        <w:rPr>
          <w:b/>
          <w:bCs/>
        </w:rPr>
        <w:t xml:space="preserve">15 600 000 </w:t>
      </w:r>
      <w:r w:rsidRPr="003077B1">
        <w:rPr>
          <w:b/>
          <w:bCs/>
        </w:rPr>
        <w:t>€</w:t>
      </w:r>
    </w:p>
    <w:p w14:paraId="4408615B" w14:textId="77777777" w:rsidR="00B53F3A" w:rsidRDefault="00B53F3A" w:rsidP="00B53F3A">
      <w:pPr>
        <w:pStyle w:val="Sansinterligne"/>
        <w:jc w:val="both"/>
      </w:pPr>
    </w:p>
    <w:p w14:paraId="108BBA20" w14:textId="77777777" w:rsidR="00B53F3A" w:rsidRPr="002C70D5" w:rsidRDefault="00B53F3A" w:rsidP="00B53F3A">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Instruments</w:t>
      </w:r>
      <w:proofErr w:type="gramEnd"/>
      <w:r>
        <w:rPr>
          <w:b/>
          <w:bCs/>
          <w:color w:val="002060"/>
          <w:sz w:val="28"/>
          <w:szCs w:val="28"/>
        </w:rPr>
        <w:t xml:space="preserve"> financiers applicables</w:t>
      </w:r>
    </w:p>
    <w:p w14:paraId="5B701DD6" w14:textId="77777777" w:rsidR="00B53F3A" w:rsidRDefault="00B53F3A" w:rsidP="00B53F3A">
      <w:pPr>
        <w:pStyle w:val="Sansinterligne"/>
        <w:jc w:val="both"/>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B53F3A" w14:paraId="2DD523A8" w14:textId="77777777" w:rsidTr="000B288C">
        <w:tc>
          <w:tcPr>
            <w:tcW w:w="9067" w:type="dxa"/>
            <w:tcBorders>
              <w:bottom w:val="single" w:sz="4" w:space="0" w:color="auto"/>
            </w:tcBorders>
            <w:vAlign w:val="center"/>
          </w:tcPr>
          <w:p w14:paraId="77358E21" w14:textId="77777777" w:rsidR="00B53F3A" w:rsidRDefault="00B53F3A" w:rsidP="000B288C">
            <w:pPr>
              <w:pStyle w:val="Sansinterligne"/>
              <w:jc w:val="center"/>
            </w:pPr>
          </w:p>
        </w:tc>
        <w:tc>
          <w:tcPr>
            <w:tcW w:w="1423" w:type="dxa"/>
            <w:tcBorders>
              <w:top w:val="single" w:sz="4" w:space="0" w:color="auto"/>
            </w:tcBorders>
            <w:vAlign w:val="center"/>
          </w:tcPr>
          <w:p w14:paraId="5C9A7DB3" w14:textId="77777777" w:rsidR="00B53F3A" w:rsidRPr="003077B1" w:rsidRDefault="00B53F3A" w:rsidP="000B288C">
            <w:pPr>
              <w:pStyle w:val="Sansinterligne"/>
              <w:jc w:val="center"/>
              <w:rPr>
                <w:b/>
                <w:bCs/>
              </w:rPr>
            </w:pPr>
            <w:r w:rsidRPr="003077B1">
              <w:rPr>
                <w:b/>
                <w:bCs/>
                <w:color w:val="002060"/>
              </w:rPr>
              <w:t>Mobilisable sur l’action</w:t>
            </w:r>
          </w:p>
        </w:tc>
      </w:tr>
      <w:tr w:rsidR="00B53F3A" w14:paraId="013FBE40" w14:textId="77777777" w:rsidTr="000B288C">
        <w:tc>
          <w:tcPr>
            <w:tcW w:w="9067" w:type="dxa"/>
            <w:tcBorders>
              <w:top w:val="single" w:sz="4" w:space="0" w:color="auto"/>
              <w:left w:val="single" w:sz="4" w:space="0" w:color="auto"/>
            </w:tcBorders>
            <w:vAlign w:val="center"/>
          </w:tcPr>
          <w:p w14:paraId="64C59F86" w14:textId="77777777" w:rsidR="00B53F3A" w:rsidRDefault="00B53F3A" w:rsidP="000B288C">
            <w:pPr>
              <w:pStyle w:val="Sansinterligne"/>
            </w:pPr>
            <w:r>
              <w:t>1 – Subvention non remboursable</w:t>
            </w:r>
          </w:p>
        </w:tc>
        <w:tc>
          <w:tcPr>
            <w:tcW w:w="1423" w:type="dxa"/>
            <w:vAlign w:val="center"/>
          </w:tcPr>
          <w:p w14:paraId="0C85BA10" w14:textId="77777777" w:rsidR="00B53F3A" w:rsidRDefault="00B53F3A" w:rsidP="000B288C">
            <w:pPr>
              <w:pStyle w:val="Sansinterligne"/>
              <w:jc w:val="center"/>
            </w:pPr>
            <w:r>
              <w:rPr>
                <w:b/>
                <w:bCs/>
                <w:noProof/>
                <w:color w:val="002060"/>
              </w:rPr>
              <w:drawing>
                <wp:inline distT="0" distB="0" distL="0" distR="0" wp14:anchorId="3589E7AE" wp14:editId="0689D13C">
                  <wp:extent cx="262393" cy="262393"/>
                  <wp:effectExtent l="0" t="0" r="4445" b="4445"/>
                  <wp:docPr id="784945575" name="Picture 78494557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45" cy="266745"/>
                          </a:xfrm>
                          <a:prstGeom prst="rect">
                            <a:avLst/>
                          </a:prstGeom>
                        </pic:spPr>
                      </pic:pic>
                    </a:graphicData>
                  </a:graphic>
                </wp:inline>
              </w:drawing>
            </w:r>
          </w:p>
        </w:tc>
      </w:tr>
      <w:tr w:rsidR="00B53F3A" w14:paraId="02A6B2D9" w14:textId="77777777" w:rsidTr="000B288C">
        <w:tc>
          <w:tcPr>
            <w:tcW w:w="9067" w:type="dxa"/>
            <w:tcBorders>
              <w:top w:val="single" w:sz="4" w:space="0" w:color="auto"/>
              <w:left w:val="single" w:sz="4" w:space="0" w:color="auto"/>
            </w:tcBorders>
            <w:vAlign w:val="center"/>
          </w:tcPr>
          <w:p w14:paraId="057246D7" w14:textId="77777777" w:rsidR="00B53F3A" w:rsidRDefault="00B53F3A" w:rsidP="000B288C">
            <w:pPr>
              <w:pStyle w:val="Sansinterligne"/>
            </w:pPr>
            <w:r>
              <w:t>2 – Subvention remboursable</w:t>
            </w:r>
          </w:p>
        </w:tc>
        <w:tc>
          <w:tcPr>
            <w:tcW w:w="1423" w:type="dxa"/>
            <w:vAlign w:val="center"/>
          </w:tcPr>
          <w:p w14:paraId="0C145251" w14:textId="77777777" w:rsidR="00B53F3A" w:rsidRDefault="00B53F3A" w:rsidP="000B288C">
            <w:pPr>
              <w:pStyle w:val="Sansinterligne"/>
              <w:jc w:val="center"/>
            </w:pPr>
            <w:r>
              <w:rPr>
                <w:b/>
                <w:bCs/>
                <w:noProof/>
                <w:color w:val="002060"/>
              </w:rPr>
              <w:drawing>
                <wp:inline distT="0" distB="0" distL="0" distR="0" wp14:anchorId="702CA829" wp14:editId="7C3C2407">
                  <wp:extent cx="230588" cy="230588"/>
                  <wp:effectExtent l="0" t="0" r="0" b="0"/>
                  <wp:docPr id="784945576" name="Picture 78494557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781C994C" w14:textId="77777777" w:rsidTr="000B288C">
        <w:tc>
          <w:tcPr>
            <w:tcW w:w="9067" w:type="dxa"/>
            <w:tcBorders>
              <w:top w:val="single" w:sz="4" w:space="0" w:color="auto"/>
              <w:left w:val="single" w:sz="4" w:space="0" w:color="auto"/>
            </w:tcBorders>
            <w:vAlign w:val="center"/>
          </w:tcPr>
          <w:p w14:paraId="5027D2A1" w14:textId="77777777" w:rsidR="00B53F3A" w:rsidRDefault="00B53F3A" w:rsidP="000B288C">
            <w:pPr>
              <w:pStyle w:val="Sansinterligne"/>
            </w:pPr>
            <w:r>
              <w:t xml:space="preserve">3 – </w:t>
            </w:r>
            <w:r w:rsidRPr="003077B1">
              <w:t>Soutien par le biais d’instruments financiers : capital risque et de fonds propres ou équivalent</w:t>
            </w:r>
          </w:p>
        </w:tc>
        <w:tc>
          <w:tcPr>
            <w:tcW w:w="1423" w:type="dxa"/>
            <w:vAlign w:val="center"/>
          </w:tcPr>
          <w:p w14:paraId="22C84570" w14:textId="77777777" w:rsidR="00B53F3A" w:rsidRDefault="00B53F3A" w:rsidP="000B288C">
            <w:pPr>
              <w:pStyle w:val="Sansinterligne"/>
              <w:jc w:val="center"/>
            </w:pPr>
            <w:r>
              <w:rPr>
                <w:b/>
                <w:bCs/>
                <w:noProof/>
                <w:color w:val="002060"/>
              </w:rPr>
              <w:drawing>
                <wp:inline distT="0" distB="0" distL="0" distR="0" wp14:anchorId="2A3F198E" wp14:editId="51C41D8C">
                  <wp:extent cx="230588" cy="230588"/>
                  <wp:effectExtent l="0" t="0" r="0" b="0"/>
                  <wp:docPr id="784945577" name="Picture 78494557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64ED8E57" w14:textId="77777777" w:rsidTr="000B288C">
        <w:tc>
          <w:tcPr>
            <w:tcW w:w="9067" w:type="dxa"/>
            <w:tcBorders>
              <w:top w:val="single" w:sz="4" w:space="0" w:color="auto"/>
              <w:left w:val="single" w:sz="4" w:space="0" w:color="auto"/>
            </w:tcBorders>
            <w:vAlign w:val="center"/>
          </w:tcPr>
          <w:p w14:paraId="7C3200FA" w14:textId="77777777" w:rsidR="00B53F3A" w:rsidRDefault="00B53F3A" w:rsidP="000B288C">
            <w:pPr>
              <w:pStyle w:val="Sansinterligne"/>
            </w:pPr>
            <w:r>
              <w:t xml:space="preserve">4 – </w:t>
            </w:r>
            <w:r w:rsidRPr="003077B1">
              <w:t>Soutien par le biais d’instruments financiers : prêt ou équivalent</w:t>
            </w:r>
          </w:p>
        </w:tc>
        <w:tc>
          <w:tcPr>
            <w:tcW w:w="1423" w:type="dxa"/>
            <w:vAlign w:val="center"/>
          </w:tcPr>
          <w:p w14:paraId="255C6724" w14:textId="77777777" w:rsidR="00B53F3A" w:rsidRDefault="00B53F3A" w:rsidP="000B288C">
            <w:pPr>
              <w:pStyle w:val="Sansinterligne"/>
              <w:jc w:val="center"/>
            </w:pPr>
            <w:r>
              <w:rPr>
                <w:b/>
                <w:bCs/>
                <w:noProof/>
                <w:color w:val="002060"/>
              </w:rPr>
              <w:drawing>
                <wp:inline distT="0" distB="0" distL="0" distR="0" wp14:anchorId="6BAE7034" wp14:editId="1E136DC2">
                  <wp:extent cx="230588" cy="230588"/>
                  <wp:effectExtent l="0" t="0" r="0" b="0"/>
                  <wp:docPr id="784945578" name="Picture 78494557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4E8EDA92" w14:textId="77777777" w:rsidTr="000B288C">
        <w:tc>
          <w:tcPr>
            <w:tcW w:w="9067" w:type="dxa"/>
            <w:tcBorders>
              <w:top w:val="single" w:sz="4" w:space="0" w:color="auto"/>
              <w:left w:val="single" w:sz="4" w:space="0" w:color="auto"/>
            </w:tcBorders>
            <w:vAlign w:val="center"/>
          </w:tcPr>
          <w:p w14:paraId="087A9DA3" w14:textId="77777777" w:rsidR="00B53F3A" w:rsidRDefault="00B53F3A" w:rsidP="000B288C">
            <w:pPr>
              <w:pStyle w:val="Sansinterligne"/>
            </w:pPr>
            <w:r>
              <w:t xml:space="preserve">5 – </w:t>
            </w:r>
            <w:r w:rsidRPr="003077B1">
              <w:t>Soutien par le biais d’instruments financiers : garantie ou équivalent</w:t>
            </w:r>
          </w:p>
        </w:tc>
        <w:tc>
          <w:tcPr>
            <w:tcW w:w="1423" w:type="dxa"/>
            <w:vAlign w:val="center"/>
          </w:tcPr>
          <w:p w14:paraId="62FE3D9F" w14:textId="77777777" w:rsidR="00B53F3A" w:rsidRDefault="00B53F3A" w:rsidP="000B288C">
            <w:pPr>
              <w:pStyle w:val="Sansinterligne"/>
              <w:jc w:val="center"/>
            </w:pPr>
            <w:r>
              <w:rPr>
                <w:b/>
                <w:bCs/>
                <w:noProof/>
                <w:color w:val="002060"/>
              </w:rPr>
              <w:drawing>
                <wp:inline distT="0" distB="0" distL="0" distR="0" wp14:anchorId="6A66707C" wp14:editId="76F62A0C">
                  <wp:extent cx="230588" cy="230588"/>
                  <wp:effectExtent l="0" t="0" r="0" b="0"/>
                  <wp:docPr id="784945579" name="Picture 78494557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B53F3A" w14:paraId="3E5A575B" w14:textId="77777777" w:rsidTr="000B288C">
        <w:tc>
          <w:tcPr>
            <w:tcW w:w="9067" w:type="dxa"/>
            <w:tcBorders>
              <w:top w:val="single" w:sz="4" w:space="0" w:color="auto"/>
              <w:left w:val="single" w:sz="4" w:space="0" w:color="auto"/>
            </w:tcBorders>
            <w:vAlign w:val="center"/>
          </w:tcPr>
          <w:p w14:paraId="5963FCC3" w14:textId="77777777" w:rsidR="00B53F3A" w:rsidRDefault="00B53F3A" w:rsidP="000B288C">
            <w:pPr>
              <w:pStyle w:val="Sansinterligne"/>
            </w:pPr>
            <w:r>
              <w:t xml:space="preserve">6 – </w:t>
            </w:r>
            <w:r w:rsidRPr="003077B1">
              <w:t>Soutien par le biais d’instruments financiers : bonifications d’intérêt, contributions aux primes de garantie, soutien technique ou équivalent</w:t>
            </w:r>
          </w:p>
        </w:tc>
        <w:tc>
          <w:tcPr>
            <w:tcW w:w="1423" w:type="dxa"/>
            <w:vAlign w:val="center"/>
          </w:tcPr>
          <w:p w14:paraId="6BE4A9FE" w14:textId="77777777" w:rsidR="00B53F3A" w:rsidRDefault="00B53F3A" w:rsidP="000B288C">
            <w:pPr>
              <w:pStyle w:val="Sansinterligne"/>
              <w:jc w:val="center"/>
            </w:pPr>
            <w:r>
              <w:rPr>
                <w:b/>
                <w:bCs/>
                <w:noProof/>
                <w:color w:val="002060"/>
              </w:rPr>
              <w:drawing>
                <wp:inline distT="0" distB="0" distL="0" distR="0" wp14:anchorId="5CB808DE" wp14:editId="1B3905E4">
                  <wp:extent cx="230588" cy="230588"/>
                  <wp:effectExtent l="0" t="0" r="0" b="0"/>
                  <wp:docPr id="784945580" name="Picture 78494558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2AD60F0F" w14:textId="77777777" w:rsidR="00B53F3A" w:rsidRDefault="00B53F3A" w:rsidP="00B53F3A">
      <w:pPr>
        <w:pStyle w:val="Sansinterligne"/>
        <w:jc w:val="both"/>
      </w:pPr>
    </w:p>
    <w:p w14:paraId="710C737C" w14:textId="77777777" w:rsidR="00B53F3A" w:rsidRPr="002C70D5" w:rsidRDefault="00B53F3A" w:rsidP="00B53F3A">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Partie réservée à l’administration</w:t>
      </w:r>
    </w:p>
    <w:p w14:paraId="05B74F5E" w14:textId="77777777" w:rsidR="00B53F3A" w:rsidRDefault="00B53F3A" w:rsidP="00B53F3A">
      <w:pPr>
        <w:pStyle w:val="Sansinterligne"/>
        <w:jc w:val="both"/>
      </w:pPr>
    </w:p>
    <w:p w14:paraId="646C6B3D" w14:textId="77777777" w:rsidR="00B53F3A" w:rsidRDefault="00B53F3A" w:rsidP="00B53F3A">
      <w:pPr>
        <w:pStyle w:val="Sansinterligne"/>
        <w:jc w:val="both"/>
      </w:pPr>
      <w:r w:rsidRPr="003077B1">
        <w:rPr>
          <w:b/>
          <w:bCs/>
          <w:color w:val="002060"/>
        </w:rPr>
        <w:t>Service instructeur :</w:t>
      </w:r>
      <w:r>
        <w:t xml:space="preserve"> service PO FEDER-FSE – Direction Europe et International – Conseil régional Centre-Val de Loire</w:t>
      </w:r>
    </w:p>
    <w:p w14:paraId="2E5AF5CD" w14:textId="77777777" w:rsidR="00B53F3A" w:rsidRDefault="00B53F3A" w:rsidP="00B53F3A">
      <w:pPr>
        <w:pStyle w:val="Sansinterligne"/>
        <w:jc w:val="both"/>
        <w:rPr>
          <w:b/>
          <w:bCs/>
          <w:color w:val="002060"/>
        </w:rPr>
      </w:pPr>
    </w:p>
    <w:p w14:paraId="72948FDD" w14:textId="77777777" w:rsidR="00B53F3A" w:rsidRPr="003077B1" w:rsidRDefault="00B53F3A" w:rsidP="00B53F3A">
      <w:pPr>
        <w:pStyle w:val="Sansinterligne"/>
        <w:jc w:val="both"/>
        <w:rPr>
          <w:b/>
          <w:bCs/>
        </w:rPr>
      </w:pPr>
      <w:r w:rsidRPr="003077B1">
        <w:rPr>
          <w:b/>
          <w:bCs/>
          <w:color w:val="002060"/>
        </w:rPr>
        <w:t>Services et organismes consultés pour avis :</w:t>
      </w:r>
      <w:r w:rsidRPr="003077B1">
        <w:rPr>
          <w:b/>
          <w:bCs/>
        </w:rPr>
        <w:t xml:space="preserve"> </w:t>
      </w:r>
    </w:p>
    <w:p w14:paraId="485FFBAF" w14:textId="77777777" w:rsidR="00B53F3A" w:rsidRPr="00B532A1" w:rsidRDefault="00B53F3A" w:rsidP="00B53F3A">
      <w:pPr>
        <w:pStyle w:val="Paragraphedeliste"/>
        <w:numPr>
          <w:ilvl w:val="0"/>
          <w:numId w:val="1"/>
        </w:numPr>
        <w:spacing w:after="0"/>
        <w:ind w:left="714" w:hanging="357"/>
        <w:rPr>
          <w:rFonts w:asciiTheme="minorHAnsi" w:hAnsiTheme="minorHAnsi"/>
          <w:sz w:val="22"/>
        </w:rPr>
      </w:pPr>
      <w:r w:rsidRPr="00B532A1">
        <w:rPr>
          <w:rFonts w:asciiTheme="minorHAnsi" w:hAnsiTheme="minorHAnsi"/>
          <w:sz w:val="22"/>
        </w:rPr>
        <w:t>Direction de l’Appui à la Donnée, au Pilotage et aux Transitions – Conseil régional Centre-Val de Loire</w:t>
      </w:r>
    </w:p>
    <w:p w14:paraId="25473FB8" w14:textId="77777777" w:rsidR="00B53F3A" w:rsidRDefault="00B53F3A" w:rsidP="00B53F3A">
      <w:pPr>
        <w:pStyle w:val="Sansinterligne"/>
        <w:numPr>
          <w:ilvl w:val="0"/>
          <w:numId w:val="1"/>
        </w:numPr>
        <w:ind w:left="714" w:hanging="357"/>
        <w:jc w:val="both"/>
      </w:pPr>
      <w:r>
        <w:t>Direction de l’Enseignement Supérieur, de la Recherche et du Transfert de Technologies (DESRTT) – Conseil régional Centre-Val de Loire</w:t>
      </w:r>
    </w:p>
    <w:p w14:paraId="396432D6" w14:textId="77777777" w:rsidR="00B53F3A" w:rsidRDefault="00B53F3A" w:rsidP="00B53F3A">
      <w:pPr>
        <w:pStyle w:val="Sansinterligne"/>
        <w:numPr>
          <w:ilvl w:val="0"/>
          <w:numId w:val="1"/>
        </w:numPr>
        <w:jc w:val="both"/>
      </w:pPr>
      <w:r>
        <w:t>Direction de l’Economie (DE) – Conseil régional Centre-Val de Loire</w:t>
      </w:r>
    </w:p>
    <w:p w14:paraId="53FF1009" w14:textId="77777777" w:rsidR="00B53F3A" w:rsidRDefault="00B53F3A" w:rsidP="00B53F3A">
      <w:pPr>
        <w:pStyle w:val="Sansinterligne"/>
        <w:numPr>
          <w:ilvl w:val="0"/>
          <w:numId w:val="1"/>
        </w:numPr>
        <w:jc w:val="both"/>
      </w:pPr>
      <w:r>
        <w:t>Délégation Régionale Académique à la Recherche et à l’Innovation (DRARI) – Etat</w:t>
      </w:r>
    </w:p>
    <w:p w14:paraId="7B17105E" w14:textId="77777777" w:rsidR="00B53F3A" w:rsidRPr="00185387" w:rsidRDefault="00B53F3A" w:rsidP="00B53F3A">
      <w:pPr>
        <w:pStyle w:val="Sansinterligne"/>
        <w:numPr>
          <w:ilvl w:val="0"/>
          <w:numId w:val="1"/>
        </w:numPr>
        <w:jc w:val="both"/>
      </w:pPr>
      <w:r>
        <w:t>Direction Régionale de l’Economie, de l’Emploi, du Travail et des Solidarités (DREETS) - Etat</w:t>
      </w:r>
    </w:p>
    <w:p w14:paraId="3EDBE3F4" w14:textId="77777777" w:rsidR="00B53F3A" w:rsidRDefault="00B53F3A" w:rsidP="00B53F3A">
      <w:pPr>
        <w:pStyle w:val="Sansinterligne"/>
        <w:jc w:val="both"/>
      </w:pPr>
    </w:p>
    <w:p w14:paraId="5FE87EE8" w14:textId="0F5E5C34" w:rsidR="00B53F3A" w:rsidRDefault="00B53F3A" w:rsidP="00625D29">
      <w:pPr>
        <w:pStyle w:val="Sansinterligne"/>
        <w:jc w:val="both"/>
      </w:pPr>
      <w:r w:rsidRPr="00674BBC">
        <w:rPr>
          <w:b/>
          <w:bCs/>
          <w:color w:val="002060"/>
        </w:rPr>
        <w:t>Organismes à consulter pour information :</w:t>
      </w:r>
      <w:r w:rsidRPr="00674BBC">
        <w:rPr>
          <w:color w:val="002060"/>
        </w:rPr>
        <w:t xml:space="preserve"> </w:t>
      </w:r>
      <w:r>
        <w:t>sans objet</w:t>
      </w:r>
    </w:p>
    <w:p w14:paraId="5E9E9B57" w14:textId="77777777" w:rsidR="00625D29" w:rsidRDefault="00625D29" w:rsidP="00625D29">
      <w:pPr>
        <w:pStyle w:val="Sansinterligne"/>
        <w:jc w:val="both"/>
      </w:pPr>
    </w:p>
    <w:p w14:paraId="5769C054" w14:textId="77777777" w:rsidR="00625D29" w:rsidRDefault="00625D29" w:rsidP="00625D29">
      <w:pPr>
        <w:pStyle w:val="Sansinterligne"/>
        <w:jc w:val="both"/>
      </w:pPr>
    </w:p>
    <w:p w14:paraId="31916445" w14:textId="77777777" w:rsidR="00625D29" w:rsidRDefault="00625D29" w:rsidP="00625D29">
      <w:pPr>
        <w:pStyle w:val="Sansinterligne"/>
        <w:jc w:val="both"/>
      </w:pPr>
    </w:p>
    <w:p w14:paraId="41DCE846" w14:textId="77777777" w:rsidR="00625D29" w:rsidRDefault="00625D29" w:rsidP="00625D29">
      <w:pPr>
        <w:pStyle w:val="Sansinterligne"/>
        <w:jc w:val="both"/>
      </w:pPr>
    </w:p>
    <w:p w14:paraId="5A45F533" w14:textId="77777777" w:rsidR="00625D29" w:rsidRPr="00B71907" w:rsidRDefault="00625D29" w:rsidP="00625D29">
      <w:pPr>
        <w:pStyle w:val="Sansinterligne"/>
        <w:jc w:val="both"/>
      </w:pPr>
    </w:p>
    <w:p w14:paraId="75596EC2" w14:textId="77777777" w:rsidR="00B53F3A" w:rsidRPr="002C70D5" w:rsidRDefault="00B53F3A" w:rsidP="00B53F3A">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lastRenderedPageBreak/>
        <w:t xml:space="preserve">ADMINISTRATION </w:t>
      </w:r>
      <w:r>
        <w:rPr>
          <w:b/>
          <w:bCs/>
          <w:sz w:val="28"/>
          <w:szCs w:val="28"/>
        </w:rPr>
        <w:t xml:space="preserve">  </w:t>
      </w:r>
      <w:r>
        <w:rPr>
          <w:b/>
          <w:bCs/>
          <w:color w:val="002060"/>
          <w:sz w:val="28"/>
          <w:szCs w:val="28"/>
        </w:rPr>
        <w:t>Catégories d’intervention</w:t>
      </w:r>
    </w:p>
    <w:p w14:paraId="02FAF893" w14:textId="77777777" w:rsidR="00B53F3A" w:rsidRDefault="00B53F3A" w:rsidP="00B53F3A">
      <w:pPr>
        <w:pStyle w:val="Sansinterligne"/>
        <w:jc w:val="both"/>
      </w:pPr>
    </w:p>
    <w:tbl>
      <w:tblPr>
        <w:tblStyle w:val="Grilledutableau"/>
        <w:tblW w:w="10485" w:type="dxa"/>
        <w:tblLook w:val="04A0" w:firstRow="1" w:lastRow="0" w:firstColumn="1" w:lastColumn="0" w:noHBand="0" w:noVBand="1"/>
      </w:tblPr>
      <w:tblGrid>
        <w:gridCol w:w="3256"/>
        <w:gridCol w:w="7229"/>
      </w:tblGrid>
      <w:tr w:rsidR="00B53F3A" w14:paraId="0E2F127C" w14:textId="77777777" w:rsidTr="000B288C">
        <w:tc>
          <w:tcPr>
            <w:tcW w:w="3256" w:type="dxa"/>
            <w:vAlign w:val="center"/>
          </w:tcPr>
          <w:p w14:paraId="711EC8AF" w14:textId="77777777" w:rsidR="00B53F3A" w:rsidRPr="00D6168A" w:rsidRDefault="00B53F3A" w:rsidP="000B288C">
            <w:pPr>
              <w:pStyle w:val="Sansinterligne"/>
              <w:rPr>
                <w:b/>
                <w:bCs/>
                <w:color w:val="002060"/>
                <w:sz w:val="20"/>
                <w:szCs w:val="20"/>
              </w:rPr>
            </w:pPr>
            <w:r w:rsidRPr="00D6168A">
              <w:rPr>
                <w:b/>
                <w:bCs/>
                <w:color w:val="002060"/>
                <w:sz w:val="20"/>
                <w:szCs w:val="20"/>
              </w:rPr>
              <w:t>Domaine d’intervention</w:t>
            </w:r>
          </w:p>
        </w:tc>
        <w:tc>
          <w:tcPr>
            <w:tcW w:w="7229" w:type="dxa"/>
            <w:vAlign w:val="center"/>
          </w:tcPr>
          <w:p w14:paraId="4505E500" w14:textId="77777777" w:rsidR="00B53F3A" w:rsidRPr="00FD0AB3" w:rsidRDefault="00B53F3A" w:rsidP="000B288C">
            <w:pPr>
              <w:pStyle w:val="Sansinterligne"/>
              <w:rPr>
                <w:sz w:val="20"/>
                <w:szCs w:val="20"/>
              </w:rPr>
            </w:pPr>
            <w:r>
              <w:rPr>
                <w:sz w:val="20"/>
                <w:szCs w:val="20"/>
              </w:rPr>
              <w:t xml:space="preserve">034 </w:t>
            </w:r>
            <w:proofErr w:type="gramStart"/>
            <w:r w:rsidRPr="00D1185F">
              <w:rPr>
                <w:sz w:val="20"/>
                <w:szCs w:val="20"/>
              </w:rPr>
              <w:t>TIC:</w:t>
            </w:r>
            <w:proofErr w:type="gramEnd"/>
            <w:r w:rsidRPr="00D1185F">
              <w:rPr>
                <w:sz w:val="20"/>
                <w:szCs w:val="20"/>
              </w:rPr>
              <w:t xml:space="preserve"> réseau haut débit à très haute capacité (accès/boucle locale avec une performance équivalente à une installation de fibre optique jusqu'à la distribution au point de desserte pour les foyers et les entreprises)</w:t>
            </w:r>
          </w:p>
        </w:tc>
      </w:tr>
      <w:tr w:rsidR="00B53F3A" w14:paraId="312D5E7C" w14:textId="77777777" w:rsidTr="000B288C">
        <w:tc>
          <w:tcPr>
            <w:tcW w:w="3256" w:type="dxa"/>
            <w:vAlign w:val="center"/>
          </w:tcPr>
          <w:p w14:paraId="3EE4DE96" w14:textId="77777777" w:rsidR="00B53F3A" w:rsidRPr="00D6168A" w:rsidRDefault="00B53F3A" w:rsidP="000B288C">
            <w:pPr>
              <w:pStyle w:val="Sansinterligne"/>
              <w:rPr>
                <w:b/>
                <w:bCs/>
                <w:color w:val="002060"/>
                <w:sz w:val="20"/>
                <w:szCs w:val="20"/>
              </w:rPr>
            </w:pPr>
            <w:r w:rsidRPr="00D6168A">
              <w:rPr>
                <w:b/>
                <w:bCs/>
                <w:color w:val="002060"/>
                <w:sz w:val="20"/>
                <w:szCs w:val="20"/>
              </w:rPr>
              <w:t>Forme de financement</w:t>
            </w:r>
          </w:p>
        </w:tc>
        <w:tc>
          <w:tcPr>
            <w:tcW w:w="7229" w:type="dxa"/>
            <w:vAlign w:val="center"/>
          </w:tcPr>
          <w:p w14:paraId="6D3BFB87" w14:textId="77777777" w:rsidR="00B53F3A" w:rsidRPr="00FD0AB3" w:rsidRDefault="00B53F3A" w:rsidP="000B288C">
            <w:pPr>
              <w:pStyle w:val="Sansinterligne"/>
              <w:rPr>
                <w:sz w:val="20"/>
                <w:szCs w:val="20"/>
              </w:rPr>
            </w:pPr>
            <w:r w:rsidRPr="00FD0AB3">
              <w:rPr>
                <w:sz w:val="20"/>
                <w:szCs w:val="20"/>
              </w:rPr>
              <w:t>01 Subvention</w:t>
            </w:r>
          </w:p>
        </w:tc>
      </w:tr>
      <w:tr w:rsidR="00B53F3A" w14:paraId="23BE2AC8" w14:textId="77777777" w:rsidTr="000B288C">
        <w:tc>
          <w:tcPr>
            <w:tcW w:w="3256" w:type="dxa"/>
            <w:vAlign w:val="center"/>
          </w:tcPr>
          <w:p w14:paraId="348E7903" w14:textId="77777777" w:rsidR="00B53F3A" w:rsidRPr="00D6168A" w:rsidRDefault="00B53F3A" w:rsidP="000B288C">
            <w:pPr>
              <w:pStyle w:val="Sansinterligne"/>
              <w:rPr>
                <w:b/>
                <w:bCs/>
                <w:color w:val="002060"/>
                <w:sz w:val="20"/>
                <w:szCs w:val="20"/>
              </w:rPr>
            </w:pPr>
            <w:r w:rsidRPr="00D6168A">
              <w:rPr>
                <w:b/>
                <w:bCs/>
                <w:color w:val="002060"/>
                <w:sz w:val="20"/>
                <w:szCs w:val="20"/>
              </w:rPr>
              <w:t>Mécanisme d’application territorial et approche territoriale</w:t>
            </w:r>
          </w:p>
        </w:tc>
        <w:tc>
          <w:tcPr>
            <w:tcW w:w="7229" w:type="dxa"/>
            <w:vAlign w:val="center"/>
          </w:tcPr>
          <w:p w14:paraId="58C54A3F" w14:textId="77777777" w:rsidR="00B53F3A" w:rsidRPr="00FD0AB3" w:rsidRDefault="00B53F3A" w:rsidP="000B288C">
            <w:pPr>
              <w:pStyle w:val="Sansinterligne"/>
              <w:rPr>
                <w:sz w:val="20"/>
                <w:szCs w:val="20"/>
              </w:rPr>
            </w:pPr>
            <w:r w:rsidRPr="00836183">
              <w:rPr>
                <w:sz w:val="20"/>
                <w:szCs w:val="20"/>
              </w:rPr>
              <w:t>28 Autres approches — Zones rurales</w:t>
            </w:r>
          </w:p>
        </w:tc>
      </w:tr>
      <w:tr w:rsidR="00B53F3A" w14:paraId="5B6345F6" w14:textId="77777777" w:rsidTr="000B288C">
        <w:tc>
          <w:tcPr>
            <w:tcW w:w="3256" w:type="dxa"/>
            <w:vAlign w:val="center"/>
          </w:tcPr>
          <w:p w14:paraId="517BF09B" w14:textId="77777777" w:rsidR="00B53F3A" w:rsidRPr="00D6168A" w:rsidRDefault="00B53F3A" w:rsidP="000B288C">
            <w:pPr>
              <w:pStyle w:val="Sansinterligne"/>
              <w:rPr>
                <w:b/>
                <w:bCs/>
                <w:color w:val="002060"/>
                <w:sz w:val="20"/>
                <w:szCs w:val="20"/>
              </w:rPr>
            </w:pPr>
            <w:r>
              <w:rPr>
                <w:b/>
                <w:bCs/>
                <w:color w:val="002060"/>
                <w:sz w:val="20"/>
                <w:szCs w:val="20"/>
              </w:rPr>
              <w:t>Egalité entre les hommes et les femmes</w:t>
            </w:r>
          </w:p>
        </w:tc>
        <w:tc>
          <w:tcPr>
            <w:tcW w:w="7229" w:type="dxa"/>
            <w:vAlign w:val="center"/>
          </w:tcPr>
          <w:p w14:paraId="1ACA3BC2" w14:textId="77777777" w:rsidR="00B53F3A" w:rsidRPr="00D6168A" w:rsidRDefault="00B53F3A" w:rsidP="000B288C">
            <w:pPr>
              <w:pStyle w:val="Sansinterligne"/>
              <w:rPr>
                <w:sz w:val="20"/>
                <w:szCs w:val="20"/>
              </w:rPr>
            </w:pPr>
            <w:r>
              <w:rPr>
                <w:sz w:val="20"/>
                <w:szCs w:val="20"/>
              </w:rPr>
              <w:t>03 Neutralité du point de vue de l’égalité entre les hommes et les femmes</w:t>
            </w:r>
          </w:p>
        </w:tc>
      </w:tr>
    </w:tbl>
    <w:p w14:paraId="0A7FC8F6" w14:textId="77777777" w:rsidR="00B53F3A" w:rsidRDefault="00B53F3A" w:rsidP="00B53F3A">
      <w:pPr>
        <w:spacing w:after="160" w:line="259" w:lineRule="auto"/>
        <w:jc w:val="left"/>
      </w:pPr>
    </w:p>
    <w:p w14:paraId="634D29A1" w14:textId="77777777" w:rsidR="00B53F3A" w:rsidRPr="002C70D5" w:rsidRDefault="00B53F3A" w:rsidP="00B53F3A">
      <w:pPr>
        <w:pStyle w:val="Sansinterligne"/>
        <w:shd w:val="clear" w:color="auto" w:fill="B7ECFF"/>
        <w:jc w:val="both"/>
        <w:rPr>
          <w:b/>
          <w:bCs/>
          <w:sz w:val="28"/>
          <w:szCs w:val="28"/>
        </w:rPr>
      </w:pPr>
      <w:r w:rsidRPr="00D6168A">
        <w:rPr>
          <w:b/>
          <w:bCs/>
          <w:color w:val="FFFFFF" w:themeColor="background1"/>
          <w:sz w:val="28"/>
          <w:szCs w:val="28"/>
          <w:shd w:val="clear" w:color="auto" w:fill="00B0F0"/>
        </w:rPr>
        <w:t xml:space="preserve">CONTACT </w:t>
      </w:r>
      <w:r>
        <w:rPr>
          <w:b/>
          <w:bCs/>
          <w:sz w:val="28"/>
          <w:szCs w:val="28"/>
        </w:rPr>
        <w:t xml:space="preserve">  </w:t>
      </w:r>
      <w:r>
        <w:rPr>
          <w:b/>
          <w:bCs/>
          <w:color w:val="002060"/>
          <w:sz w:val="28"/>
          <w:szCs w:val="28"/>
        </w:rPr>
        <w:t>Service(s) en charge de l’instruction des dossiers</w:t>
      </w:r>
    </w:p>
    <w:p w14:paraId="22430265" w14:textId="77777777" w:rsidR="00B53F3A" w:rsidRDefault="00B53F3A" w:rsidP="00B53F3A">
      <w:pPr>
        <w:pStyle w:val="Sansinterligne"/>
        <w:jc w:val="both"/>
      </w:pPr>
    </w:p>
    <w:p w14:paraId="7FBFAEA9" w14:textId="77777777" w:rsidR="00B53F3A" w:rsidRDefault="00B53F3A" w:rsidP="00B53F3A">
      <w:pPr>
        <w:pStyle w:val="Sansinterligne"/>
        <w:jc w:val="both"/>
      </w:pPr>
      <w:r w:rsidRPr="00D6168A">
        <w:rPr>
          <w:b/>
          <w:bCs/>
          <w:color w:val="002060"/>
        </w:rPr>
        <w:t>Contact :</w:t>
      </w:r>
      <w:r>
        <w:t xml:space="preserve"> Conseil régional Centre-Val de Loire, Direction Europe et International, </w:t>
      </w:r>
      <w:r w:rsidRPr="00B0477C">
        <w:t>Service Programmation des Fonds européens FEDER FSE+</w:t>
      </w:r>
    </w:p>
    <w:p w14:paraId="779C7EA7" w14:textId="77777777" w:rsidR="00B53F3A" w:rsidRDefault="00B53F3A" w:rsidP="00B53F3A">
      <w:pPr>
        <w:pStyle w:val="Sansinterligne"/>
        <w:jc w:val="both"/>
      </w:pPr>
      <w:r>
        <w:rPr>
          <w:noProof/>
        </w:rPr>
        <w:drawing>
          <wp:inline distT="0" distB="0" distL="0" distR="0" wp14:anchorId="75A3BC1D" wp14:editId="25749EE5">
            <wp:extent cx="204826" cy="204826"/>
            <wp:effectExtent l="0" t="0" r="5080" b="5080"/>
            <wp:docPr id="784945692" name="Picture 784945692"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4826" cy="204826"/>
                    </a:xfrm>
                    <a:prstGeom prst="rect">
                      <a:avLst/>
                    </a:prstGeom>
                  </pic:spPr>
                </pic:pic>
              </a:graphicData>
            </a:graphic>
          </wp:inline>
        </w:drawing>
      </w:r>
      <w:r>
        <w:t xml:space="preserve"> : </w:t>
      </w:r>
      <w:hyperlink r:id="rId15" w:history="1">
        <w:r w:rsidRPr="00E4771E">
          <w:rPr>
            <w:rStyle w:val="Lienhypertexte"/>
          </w:rPr>
          <w:t>ext-europe@centrevaldeloire.fr</w:t>
        </w:r>
      </w:hyperlink>
    </w:p>
    <w:p w14:paraId="49B3D736" w14:textId="77777777" w:rsidR="00B53F3A" w:rsidRDefault="00B53F3A" w:rsidP="00B53F3A">
      <w:pPr>
        <w:pStyle w:val="Sansinterligne"/>
        <w:jc w:val="both"/>
      </w:pPr>
    </w:p>
    <w:p w14:paraId="23B1A101" w14:textId="77777777" w:rsidR="0015770F" w:rsidRDefault="0015770F" w:rsidP="0015770F">
      <w:pPr>
        <w:pStyle w:val="Sansinterligne"/>
        <w:jc w:val="both"/>
      </w:pPr>
    </w:p>
    <w:p w14:paraId="707A6C08" w14:textId="77777777" w:rsidR="0015770F" w:rsidRPr="009325D3" w:rsidRDefault="0015770F" w:rsidP="0015770F">
      <w:pPr>
        <w:tabs>
          <w:tab w:val="left" w:pos="4320"/>
        </w:tabs>
        <w:rPr>
          <w:rFonts w:ascii="Calibri" w:hAnsi="Calibri" w:cs="Calibri"/>
        </w:rPr>
      </w:pPr>
    </w:p>
    <w:p w14:paraId="238F6735" w14:textId="77777777" w:rsidR="0015770F" w:rsidRPr="009325D3" w:rsidRDefault="0015770F" w:rsidP="0015770F">
      <w:pPr>
        <w:tabs>
          <w:tab w:val="left" w:pos="4320"/>
        </w:tabs>
        <w:rPr>
          <w:rFonts w:ascii="Calibri" w:hAnsi="Calibri" w:cs="Calibri"/>
        </w:rPr>
      </w:pPr>
    </w:p>
    <w:p w14:paraId="2C3F9E51" w14:textId="77777777" w:rsidR="00B801F8" w:rsidRDefault="00B801F8" w:rsidP="000E1C19">
      <w:pPr>
        <w:rPr>
          <w:rFonts w:ascii="Calibri" w:hAnsi="Calibri" w:cs="Calibri"/>
        </w:rPr>
      </w:pPr>
    </w:p>
    <w:sectPr w:rsidR="00B801F8"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C3"/>
    <w:multiLevelType w:val="hybridMultilevel"/>
    <w:tmpl w:val="B5D67F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C5BA2"/>
    <w:multiLevelType w:val="hybridMultilevel"/>
    <w:tmpl w:val="45AC4C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60A6819"/>
    <w:multiLevelType w:val="hybridMultilevel"/>
    <w:tmpl w:val="8B8E2740"/>
    <w:lvl w:ilvl="0" w:tplc="C518DC98">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7B27424"/>
    <w:multiLevelType w:val="hybridMultilevel"/>
    <w:tmpl w:val="A35227D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FF43FA"/>
    <w:multiLevelType w:val="hybridMultilevel"/>
    <w:tmpl w:val="245E721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3B178F"/>
    <w:multiLevelType w:val="hybridMultilevel"/>
    <w:tmpl w:val="DBA4DA2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D367FA"/>
    <w:multiLevelType w:val="hybridMultilevel"/>
    <w:tmpl w:val="635656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0DDA1FF5"/>
    <w:multiLevelType w:val="hybridMultilevel"/>
    <w:tmpl w:val="51BAB19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FA2CEF"/>
    <w:multiLevelType w:val="hybridMultilevel"/>
    <w:tmpl w:val="00C851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63762D"/>
    <w:multiLevelType w:val="hybridMultilevel"/>
    <w:tmpl w:val="E3FE3846"/>
    <w:lvl w:ilvl="0" w:tplc="BD420C8E">
      <w:start w:val="1"/>
      <w:numFmt w:val="bullet"/>
      <w:lvlText w:val="-"/>
      <w:lvlJc w:val="left"/>
      <w:pPr>
        <w:ind w:left="720" w:hanging="360"/>
      </w:pPr>
      <w:rPr>
        <w:rFonts w:ascii="Calibri" w:hAnsi="Calibri"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0431EE"/>
    <w:multiLevelType w:val="hybridMultilevel"/>
    <w:tmpl w:val="00980B24"/>
    <w:lvl w:ilvl="0" w:tplc="F4CE1A86">
      <w:numFmt w:val="bullet"/>
      <w:lvlText w:val="-"/>
      <w:lvlJc w:val="left"/>
      <w:pPr>
        <w:ind w:left="500" w:hanging="360"/>
      </w:pPr>
      <w:rPr>
        <w:rFonts w:ascii="Verdana" w:eastAsia="Tahoma" w:hAnsi="Verdana" w:cs="Tahoma" w:hint="default"/>
        <w:color w:val="231F20"/>
      </w:rPr>
    </w:lvl>
    <w:lvl w:ilvl="1" w:tplc="040C0003">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6" w15:restartNumberingAfterBreak="0">
    <w:nsid w:val="1D224AB4"/>
    <w:multiLevelType w:val="hybridMultilevel"/>
    <w:tmpl w:val="192AA17C"/>
    <w:lvl w:ilvl="0" w:tplc="861442C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1E80407C"/>
    <w:multiLevelType w:val="hybridMultilevel"/>
    <w:tmpl w:val="3A44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1F7901"/>
    <w:multiLevelType w:val="multilevel"/>
    <w:tmpl w:val="B7E2C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9265C4"/>
    <w:multiLevelType w:val="hybridMultilevel"/>
    <w:tmpl w:val="D1E01688"/>
    <w:lvl w:ilvl="0" w:tplc="C518DC98">
      <w:start w:val="1"/>
      <w:numFmt w:val="bullet"/>
      <w:lvlText w:val="-"/>
      <w:lvlJc w:val="left"/>
      <w:pPr>
        <w:ind w:left="360" w:hanging="360"/>
      </w:pPr>
      <w:rPr>
        <w:rFonts w:ascii="Calibri" w:eastAsiaTheme="minorHAns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F659AA"/>
    <w:multiLevelType w:val="hybridMultilevel"/>
    <w:tmpl w:val="2E26C18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4A5833"/>
    <w:multiLevelType w:val="hybridMultilevel"/>
    <w:tmpl w:val="B31A6AA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330F72"/>
    <w:multiLevelType w:val="hybridMultilevel"/>
    <w:tmpl w:val="7D56E9B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B76830"/>
    <w:multiLevelType w:val="hybridMultilevel"/>
    <w:tmpl w:val="7B0619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856A2A"/>
    <w:multiLevelType w:val="hybridMultilevel"/>
    <w:tmpl w:val="1234D0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3663C6"/>
    <w:multiLevelType w:val="hybridMultilevel"/>
    <w:tmpl w:val="FE34AD3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1E2E3E"/>
    <w:multiLevelType w:val="hybridMultilevel"/>
    <w:tmpl w:val="8990CD4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345087"/>
    <w:multiLevelType w:val="hybridMultilevel"/>
    <w:tmpl w:val="14FC4B0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FA658D"/>
    <w:multiLevelType w:val="hybridMultilevel"/>
    <w:tmpl w:val="2542AD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5273BD"/>
    <w:multiLevelType w:val="hybridMultilevel"/>
    <w:tmpl w:val="E8B61D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834557"/>
    <w:multiLevelType w:val="hybridMultilevel"/>
    <w:tmpl w:val="C584D3F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5322C9"/>
    <w:multiLevelType w:val="hybridMultilevel"/>
    <w:tmpl w:val="446C49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8F1B60"/>
    <w:multiLevelType w:val="hybridMultilevel"/>
    <w:tmpl w:val="EF4486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4D4709"/>
    <w:multiLevelType w:val="hybridMultilevel"/>
    <w:tmpl w:val="E78095E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166C6F"/>
    <w:multiLevelType w:val="hybridMultilevel"/>
    <w:tmpl w:val="7CE249B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6A864D1"/>
    <w:multiLevelType w:val="hybridMultilevel"/>
    <w:tmpl w:val="DC844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4584">
    <w:abstractNumId w:val="40"/>
  </w:num>
  <w:num w:numId="2" w16cid:durableId="1543248224">
    <w:abstractNumId w:val="23"/>
  </w:num>
  <w:num w:numId="3" w16cid:durableId="1267277285">
    <w:abstractNumId w:val="7"/>
  </w:num>
  <w:num w:numId="4" w16cid:durableId="1463111022">
    <w:abstractNumId w:val="48"/>
  </w:num>
  <w:num w:numId="5" w16cid:durableId="1286353808">
    <w:abstractNumId w:val="44"/>
  </w:num>
  <w:num w:numId="6" w16cid:durableId="465196477">
    <w:abstractNumId w:val="12"/>
  </w:num>
  <w:num w:numId="7" w16cid:durableId="740177429">
    <w:abstractNumId w:val="18"/>
  </w:num>
  <w:num w:numId="8" w16cid:durableId="1537815783">
    <w:abstractNumId w:val="11"/>
  </w:num>
  <w:num w:numId="9" w16cid:durableId="1466697136">
    <w:abstractNumId w:val="39"/>
  </w:num>
  <w:num w:numId="10" w16cid:durableId="429854172">
    <w:abstractNumId w:val="37"/>
  </w:num>
  <w:num w:numId="11" w16cid:durableId="1717195254">
    <w:abstractNumId w:val="42"/>
  </w:num>
  <w:num w:numId="12" w16cid:durableId="1519079155">
    <w:abstractNumId w:val="31"/>
  </w:num>
  <w:num w:numId="13" w16cid:durableId="2122450400">
    <w:abstractNumId w:val="25"/>
  </w:num>
  <w:num w:numId="14" w16cid:durableId="572274830">
    <w:abstractNumId w:val="1"/>
  </w:num>
  <w:num w:numId="15" w16cid:durableId="1907757202">
    <w:abstractNumId w:val="46"/>
  </w:num>
  <w:num w:numId="16" w16cid:durableId="1930305401">
    <w:abstractNumId w:val="41"/>
  </w:num>
  <w:num w:numId="17" w16cid:durableId="1046836502">
    <w:abstractNumId w:val="2"/>
  </w:num>
  <w:num w:numId="18" w16cid:durableId="815075886">
    <w:abstractNumId w:val="43"/>
  </w:num>
  <w:num w:numId="19" w16cid:durableId="1421681780">
    <w:abstractNumId w:val="14"/>
  </w:num>
  <w:num w:numId="20" w16cid:durableId="528956087">
    <w:abstractNumId w:val="8"/>
  </w:num>
  <w:num w:numId="21" w16cid:durableId="2136243845">
    <w:abstractNumId w:val="34"/>
  </w:num>
  <w:num w:numId="22" w16cid:durableId="754744194">
    <w:abstractNumId w:val="13"/>
  </w:num>
  <w:num w:numId="23" w16cid:durableId="1601834840">
    <w:abstractNumId w:val="38"/>
  </w:num>
  <w:num w:numId="24" w16cid:durableId="1494490091">
    <w:abstractNumId w:val="3"/>
  </w:num>
  <w:num w:numId="25" w16cid:durableId="1713728212">
    <w:abstractNumId w:val="24"/>
  </w:num>
  <w:num w:numId="26" w16cid:durableId="842165197">
    <w:abstractNumId w:val="17"/>
  </w:num>
  <w:num w:numId="27" w16cid:durableId="1730957432">
    <w:abstractNumId w:val="20"/>
  </w:num>
  <w:num w:numId="28" w16cid:durableId="784538139">
    <w:abstractNumId w:val="16"/>
  </w:num>
  <w:num w:numId="29" w16cid:durableId="1839155302">
    <w:abstractNumId w:val="35"/>
  </w:num>
  <w:num w:numId="30" w16cid:durableId="466898919">
    <w:abstractNumId w:val="15"/>
  </w:num>
  <w:num w:numId="31" w16cid:durableId="1852062927">
    <w:abstractNumId w:val="47"/>
  </w:num>
  <w:num w:numId="32" w16cid:durableId="856889438">
    <w:abstractNumId w:val="10"/>
  </w:num>
  <w:num w:numId="33" w16cid:durableId="239103396">
    <w:abstractNumId w:val="0"/>
  </w:num>
  <w:num w:numId="34" w16cid:durableId="893001713">
    <w:abstractNumId w:val="45"/>
  </w:num>
  <w:num w:numId="35" w16cid:durableId="270161260">
    <w:abstractNumId w:val="28"/>
  </w:num>
  <w:num w:numId="36" w16cid:durableId="529807328">
    <w:abstractNumId w:val="27"/>
  </w:num>
  <w:num w:numId="37" w16cid:durableId="377169409">
    <w:abstractNumId w:val="30"/>
  </w:num>
  <w:num w:numId="38" w16cid:durableId="1335762488">
    <w:abstractNumId w:val="19"/>
  </w:num>
  <w:num w:numId="39" w16cid:durableId="1643001182">
    <w:abstractNumId w:val="29"/>
  </w:num>
  <w:num w:numId="40" w16cid:durableId="1800104413">
    <w:abstractNumId w:val="4"/>
  </w:num>
  <w:num w:numId="41" w16cid:durableId="1387755784">
    <w:abstractNumId w:val="22"/>
  </w:num>
  <w:num w:numId="42" w16cid:durableId="479076295">
    <w:abstractNumId w:val="6"/>
  </w:num>
  <w:num w:numId="43" w16cid:durableId="954992640">
    <w:abstractNumId w:val="5"/>
  </w:num>
  <w:num w:numId="44" w16cid:durableId="1680111900">
    <w:abstractNumId w:val="33"/>
  </w:num>
  <w:num w:numId="45" w16cid:durableId="1058212329">
    <w:abstractNumId w:val="21"/>
  </w:num>
  <w:num w:numId="46" w16cid:durableId="1633249636">
    <w:abstractNumId w:val="9"/>
  </w:num>
  <w:num w:numId="47" w16cid:durableId="408579015">
    <w:abstractNumId w:val="32"/>
  </w:num>
  <w:num w:numId="48" w16cid:durableId="1717508738">
    <w:abstractNumId w:val="36"/>
  </w:num>
  <w:num w:numId="49" w16cid:durableId="21416540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5770F"/>
    <w:rsid w:val="001A68D1"/>
    <w:rsid w:val="002C6E21"/>
    <w:rsid w:val="003004C5"/>
    <w:rsid w:val="00340C63"/>
    <w:rsid w:val="004349FC"/>
    <w:rsid w:val="005521DB"/>
    <w:rsid w:val="005F410E"/>
    <w:rsid w:val="00625D29"/>
    <w:rsid w:val="006347A3"/>
    <w:rsid w:val="00781940"/>
    <w:rsid w:val="007F4EF4"/>
    <w:rsid w:val="00820553"/>
    <w:rsid w:val="009057D7"/>
    <w:rsid w:val="00A36E22"/>
    <w:rsid w:val="00AE38D5"/>
    <w:rsid w:val="00B53F3A"/>
    <w:rsid w:val="00B801F8"/>
    <w:rsid w:val="00B87CF4"/>
    <w:rsid w:val="00C16113"/>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hyperlink" Target="mailto:ext-europe@centrevaldeloire.fr"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F35A8-45B8-487B-8770-D61D2F9B8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8623F-E0B1-434A-A690-721947A50077}">
  <ds:schemaRefs>
    <ds:schemaRef ds:uri="http://schemas.microsoft.com/sharepoint/v3/contenttype/forms"/>
  </ds:schemaRefs>
</ds:datastoreItem>
</file>

<file path=customXml/itemProps3.xml><?xml version="1.0" encoding="utf-8"?>
<ds:datastoreItem xmlns:ds="http://schemas.openxmlformats.org/officeDocument/2006/customXml" ds:itemID="{1BCF9789-32DC-459E-8872-5FE65111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1789</Words>
  <Characters>9843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6</cp:revision>
  <dcterms:created xsi:type="dcterms:W3CDTF">2022-11-30T10:43:00Z</dcterms:created>
  <dcterms:modified xsi:type="dcterms:W3CDTF">2024-01-10T14:01:00Z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