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6DE3FF15" w:rsidR="000E1C19" w:rsidRPr="006C22DB" w:rsidRDefault="007E4FF6" w:rsidP="000E1C19">
                            <w:pPr>
                              <w:pStyle w:val="Sansinterligne"/>
                              <w:jc w:val="center"/>
                              <w:rPr>
                                <w:b/>
                                <w:bCs/>
                              </w:rPr>
                            </w:pPr>
                            <w:r>
                              <w:rPr>
                                <w:b/>
                                <w:bCs/>
                              </w:rPr>
                              <w:t>2.</w:t>
                            </w:r>
                            <w:r w:rsidR="00306CCC">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6DE3FF15" w:rsidR="000E1C19" w:rsidRPr="006C22DB" w:rsidRDefault="007E4FF6" w:rsidP="000E1C19">
                      <w:pPr>
                        <w:pStyle w:val="Sansinterligne"/>
                        <w:jc w:val="center"/>
                        <w:rPr>
                          <w:b/>
                          <w:bCs/>
                        </w:rPr>
                      </w:pPr>
                      <w:r>
                        <w:rPr>
                          <w:b/>
                          <w:bCs/>
                        </w:rPr>
                        <w:t>2.</w:t>
                      </w:r>
                      <w:r w:rsidR="00306CCC">
                        <w:rPr>
                          <w:b/>
                          <w:bCs/>
                        </w:rPr>
                        <w:t>2</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7A487718" w:rsidR="000E1C19" w:rsidRPr="006C22DB" w:rsidRDefault="007E4FF6" w:rsidP="000E1C19">
                            <w:pPr>
                              <w:pStyle w:val="Sansinterligne"/>
                              <w:jc w:val="center"/>
                              <w:rPr>
                                <w:b/>
                                <w:bCs/>
                              </w:rPr>
                            </w:pPr>
                            <w:r>
                              <w:rPr>
                                <w:b/>
                                <w:bC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7A487718" w:rsidR="000E1C19" w:rsidRPr="006C22DB" w:rsidRDefault="007E4FF6" w:rsidP="000E1C19">
                      <w:pPr>
                        <w:pStyle w:val="Sansinterligne"/>
                        <w:jc w:val="center"/>
                        <w:rPr>
                          <w:b/>
                          <w:bCs/>
                        </w:rPr>
                      </w:pPr>
                      <w:r>
                        <w:rPr>
                          <w:b/>
                          <w:bCs/>
                        </w:rPr>
                        <w:t>3</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2B0E5A82" w:rsidR="000E1C19" w:rsidRPr="006C22DB" w:rsidRDefault="007E4FF6" w:rsidP="000E1C19">
                            <w:pPr>
                              <w:pStyle w:val="Sansinterligne"/>
                              <w:jc w:val="center"/>
                              <w:rPr>
                                <w:b/>
                                <w:bCs/>
                              </w:rPr>
                            </w:pPr>
                            <w:r>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2B0E5A82" w:rsidR="000E1C19" w:rsidRPr="006C22DB" w:rsidRDefault="007E4FF6" w:rsidP="000E1C19">
                      <w:pPr>
                        <w:pStyle w:val="Sansinterligne"/>
                        <w:jc w:val="center"/>
                        <w:rPr>
                          <w:b/>
                          <w:bCs/>
                        </w:rPr>
                      </w:pPr>
                      <w:r>
                        <w:rPr>
                          <w:b/>
                          <w:bCs/>
                        </w:rPr>
                        <w:t>2</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655E0CEF" w14:textId="248FFE8F" w:rsidR="000E1C19" w:rsidRDefault="000E1C19" w:rsidP="000E1C19">
      <w:pPr>
        <w:rPr>
          <w:rFonts w:ascii="Calibri" w:hAnsi="Calibri" w:cs="Calibri"/>
        </w:rPr>
      </w:pPr>
    </w:p>
    <w:p w14:paraId="0D0B3E71" w14:textId="77777777" w:rsidR="00402F98" w:rsidRPr="009325D3" w:rsidRDefault="00402F98" w:rsidP="00402F98">
      <w:pPr>
        <w:rPr>
          <w:rFonts w:ascii="Calibri" w:hAnsi="Calibri" w:cs="Calibri"/>
        </w:rPr>
      </w:pPr>
    </w:p>
    <w:p w14:paraId="036733FF" w14:textId="77777777" w:rsidR="00402F98" w:rsidRPr="009325D3" w:rsidRDefault="00402F98" w:rsidP="00402F98">
      <w:pPr>
        <w:pStyle w:val="Sansinterligne"/>
        <w:jc w:val="both"/>
        <w:rPr>
          <w:rFonts w:ascii="Calibri" w:hAnsi="Calibri" w:cs="Calibri"/>
          <w:sz w:val="10"/>
          <w:szCs w:val="10"/>
        </w:rPr>
      </w:pPr>
    </w:p>
    <w:tbl>
      <w:tblPr>
        <w:tblStyle w:val="Grilledutableau"/>
        <w:tblW w:w="0" w:type="auto"/>
        <w:tblLook w:val="04A0" w:firstRow="1" w:lastRow="0" w:firstColumn="1" w:lastColumn="0" w:noHBand="0" w:noVBand="1"/>
      </w:tblPr>
      <w:tblGrid>
        <w:gridCol w:w="2614"/>
        <w:gridCol w:w="2614"/>
        <w:gridCol w:w="2614"/>
        <w:gridCol w:w="2614"/>
      </w:tblGrid>
      <w:tr w:rsidR="00402F98" w:rsidRPr="00DB5616" w14:paraId="32BB6D43" w14:textId="77777777" w:rsidTr="000B288C">
        <w:tc>
          <w:tcPr>
            <w:tcW w:w="10456"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294260EE" w14:textId="77777777" w:rsidR="00402F98" w:rsidRPr="004E0615" w:rsidRDefault="00402F98" w:rsidP="000B288C">
            <w:pPr>
              <w:pStyle w:val="Titre"/>
              <w:outlineLvl w:val="2"/>
            </w:pPr>
            <w:bookmarkStart w:id="0" w:name="_Toc116053883"/>
            <w:r w:rsidRPr="004E0615">
              <w:t>Action n°20</w:t>
            </w:r>
            <w:bookmarkEnd w:id="0"/>
          </w:p>
          <w:p w14:paraId="728D5323" w14:textId="77777777" w:rsidR="00402F98" w:rsidRPr="00DB5616" w:rsidRDefault="00402F98" w:rsidP="000B288C">
            <w:pPr>
              <w:pStyle w:val="Titre"/>
            </w:pPr>
            <w:r w:rsidRPr="004E0615">
              <w:t xml:space="preserve">Hydrogène </w:t>
            </w:r>
            <w:r>
              <w:rPr>
                <w:rFonts w:cs="Calibri"/>
              </w:rPr>
              <w:t>renouvelable</w:t>
            </w:r>
          </w:p>
        </w:tc>
      </w:tr>
      <w:tr w:rsidR="00402F98" w:rsidRPr="00DB5616" w14:paraId="223257EA"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5B5B6D71" w14:textId="77777777" w:rsidR="00402F98" w:rsidRPr="00DB5616" w:rsidRDefault="00402F98" w:rsidP="000B288C">
            <w:pPr>
              <w:spacing w:after="0" w:line="240" w:lineRule="auto"/>
              <w:jc w:val="center"/>
              <w:rPr>
                <w:rFonts w:asciiTheme="minorHAnsi" w:hAnsiTheme="minorHAnsi"/>
                <w:b/>
                <w:bCs/>
                <w:szCs w:val="20"/>
              </w:rPr>
            </w:pPr>
            <w:r w:rsidRPr="00DB5616">
              <w:rPr>
                <w:rFonts w:asciiTheme="minorHAnsi" w:hAnsiTheme="minorHAnsi"/>
                <w:b/>
                <w:bCs/>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5D827A8A" w14:textId="77777777" w:rsidR="00402F98" w:rsidRPr="00DB5616" w:rsidRDefault="00402F98" w:rsidP="000B288C">
            <w:pPr>
              <w:spacing w:after="0" w:line="240" w:lineRule="auto"/>
              <w:jc w:val="center"/>
              <w:rPr>
                <w:rFonts w:asciiTheme="minorHAnsi" w:hAnsiTheme="minorHAnsi"/>
                <w:szCs w:val="20"/>
              </w:rPr>
            </w:pPr>
            <w:r w:rsidRPr="00502C0B">
              <w:rPr>
                <w:rFonts w:ascii="Calibri" w:hAnsi="Calibri" w:cs="Calibri"/>
                <w:szCs w:val="20"/>
              </w:rPr>
              <w:t>1</w:t>
            </w:r>
            <w:r>
              <w:rPr>
                <w:rFonts w:ascii="Calibri" w:hAnsi="Calibri" w:cs="Calibri"/>
                <w:szCs w:val="20"/>
              </w:rPr>
              <w:t>0</w:t>
            </w:r>
            <w:r w:rsidRPr="00502C0B">
              <w:rPr>
                <w:rFonts w:ascii="Calibri" w:hAnsi="Calibri" w:cs="Calibri"/>
                <w:szCs w:val="20"/>
              </w:rPr>
              <w:t>/</w:t>
            </w:r>
            <w:r>
              <w:rPr>
                <w:rFonts w:ascii="Calibri" w:hAnsi="Calibri" w:cs="Calibri"/>
                <w:szCs w:val="20"/>
              </w:rPr>
              <w:t>03</w:t>
            </w:r>
            <w:r w:rsidRPr="00502C0B">
              <w:rPr>
                <w:rFonts w:ascii="Calibri" w:hAnsi="Calibri" w:cs="Calibri"/>
                <w:szCs w:val="20"/>
              </w:rPr>
              <w:t>/202</w:t>
            </w:r>
            <w:r>
              <w:rPr>
                <w:rFonts w:ascii="Calibri" w:hAnsi="Calibri" w:cs="Calibri"/>
                <w:szCs w:val="20"/>
              </w:rPr>
              <w:t>3</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71A3EEF3" w14:textId="77777777" w:rsidR="00402F98" w:rsidRPr="00DB5616" w:rsidRDefault="00402F98" w:rsidP="000B288C">
            <w:pPr>
              <w:spacing w:after="0" w:line="240" w:lineRule="auto"/>
              <w:jc w:val="center"/>
              <w:rPr>
                <w:rFonts w:asciiTheme="minorHAnsi" w:hAnsiTheme="minorHAnsi"/>
                <w:b/>
                <w:bCs/>
                <w:szCs w:val="20"/>
              </w:rPr>
            </w:pPr>
            <w:r w:rsidRPr="00DB5616">
              <w:rPr>
                <w:rFonts w:asciiTheme="minorHAnsi" w:hAnsiTheme="minorHAnsi"/>
                <w:b/>
                <w:bCs/>
                <w:szCs w:val="20"/>
              </w:rPr>
              <w:t>Correspondance PO 14-20</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3912D2EB" w14:textId="77777777" w:rsidR="00402F98" w:rsidRPr="00DB5616" w:rsidRDefault="00402F98" w:rsidP="000B288C">
            <w:pPr>
              <w:spacing w:after="0" w:line="240" w:lineRule="auto"/>
              <w:jc w:val="center"/>
              <w:rPr>
                <w:rFonts w:asciiTheme="minorHAnsi" w:hAnsiTheme="minorHAnsi"/>
                <w:szCs w:val="20"/>
              </w:rPr>
            </w:pPr>
            <w:r w:rsidRPr="00DB5616">
              <w:rPr>
                <w:rFonts w:asciiTheme="minorHAnsi" w:hAnsiTheme="minorHAnsi"/>
                <w:szCs w:val="20"/>
              </w:rPr>
              <w:t>Action n°18</w:t>
            </w:r>
          </w:p>
        </w:tc>
      </w:tr>
    </w:tbl>
    <w:p w14:paraId="00637DFC" w14:textId="77777777" w:rsidR="00402F98" w:rsidRPr="00DB5616" w:rsidRDefault="00402F98" w:rsidP="00402F98">
      <w:pPr>
        <w:spacing w:after="0" w:line="240" w:lineRule="auto"/>
        <w:rPr>
          <w:rFonts w:asciiTheme="minorHAnsi" w:hAnsiTheme="minorHAnsi"/>
          <w:sz w:val="22"/>
        </w:rPr>
      </w:pPr>
    </w:p>
    <w:p w14:paraId="03E4D516" w14:textId="77777777" w:rsidR="00402F98" w:rsidRPr="00DB5616" w:rsidRDefault="00402F98" w:rsidP="00402F98">
      <w:pPr>
        <w:shd w:val="clear" w:color="auto" w:fill="DEEAF6" w:themeFill="accent5" w:themeFillTint="33"/>
        <w:spacing w:after="0" w:line="240" w:lineRule="auto"/>
        <w:rPr>
          <w:rFonts w:asciiTheme="minorHAnsi" w:hAnsiTheme="minorHAnsi"/>
          <w:b/>
          <w:bCs/>
          <w:color w:val="002060"/>
          <w:sz w:val="28"/>
          <w:szCs w:val="28"/>
        </w:rPr>
      </w:pPr>
      <w:r w:rsidRPr="00DB5616">
        <w:rPr>
          <w:rFonts w:asciiTheme="minorHAnsi" w:hAnsiTheme="minorHAnsi"/>
          <w:b/>
          <w:bCs/>
          <w:color w:val="FFFFFF" w:themeColor="background1"/>
          <w:sz w:val="28"/>
          <w:szCs w:val="28"/>
          <w:shd w:val="clear" w:color="auto" w:fill="002060"/>
        </w:rPr>
        <w:t xml:space="preserve">QUOI ? </w:t>
      </w:r>
      <w:r w:rsidRPr="00DB5616">
        <w:rPr>
          <w:rFonts w:asciiTheme="minorHAnsi" w:hAnsiTheme="minorHAnsi"/>
          <w:b/>
          <w:bCs/>
          <w:color w:val="002060"/>
          <w:sz w:val="28"/>
          <w:szCs w:val="28"/>
        </w:rPr>
        <w:t xml:space="preserve"> Contexte et objectifs</w:t>
      </w:r>
    </w:p>
    <w:p w14:paraId="7CCF6ABB" w14:textId="77777777" w:rsidR="00402F98" w:rsidRPr="00DB5616" w:rsidRDefault="00402F98" w:rsidP="00402F98">
      <w:pPr>
        <w:spacing w:after="0" w:line="240" w:lineRule="auto"/>
        <w:rPr>
          <w:rFonts w:asciiTheme="minorHAnsi" w:hAnsiTheme="minorHAnsi"/>
          <w:sz w:val="22"/>
        </w:rPr>
      </w:pPr>
    </w:p>
    <w:p w14:paraId="3C3E89EC" w14:textId="77777777" w:rsidR="00402F98" w:rsidRPr="00DB5616" w:rsidRDefault="00402F98" w:rsidP="00402F98">
      <w:pPr>
        <w:spacing w:after="0" w:line="240" w:lineRule="auto"/>
        <w:rPr>
          <w:rFonts w:asciiTheme="minorHAnsi" w:hAnsiTheme="minorHAnsi"/>
          <w:b/>
          <w:bCs/>
          <w:color w:val="002060"/>
          <w:sz w:val="22"/>
        </w:rPr>
      </w:pPr>
      <w:r w:rsidRPr="00DB5616">
        <w:rPr>
          <w:rFonts w:asciiTheme="minorHAnsi" w:hAnsiTheme="minorHAnsi"/>
          <w:b/>
          <w:bCs/>
          <w:color w:val="002060"/>
          <w:sz w:val="22"/>
        </w:rPr>
        <w:t>L’objectif de ce cadre d’intervention est de :</w:t>
      </w:r>
    </w:p>
    <w:p w14:paraId="463DEB57" w14:textId="77777777" w:rsidR="00402F98" w:rsidRPr="00DB5616" w:rsidRDefault="00402F98" w:rsidP="00402F98">
      <w:pPr>
        <w:spacing w:after="0" w:line="240" w:lineRule="auto"/>
        <w:rPr>
          <w:rFonts w:asciiTheme="minorHAnsi" w:hAnsiTheme="minorHAnsi"/>
          <w:sz w:val="22"/>
        </w:rPr>
      </w:pPr>
    </w:p>
    <w:p w14:paraId="507A42D2" w14:textId="77777777" w:rsidR="00402F98" w:rsidRPr="00DB5616" w:rsidRDefault="00402F98" w:rsidP="00402F98">
      <w:pPr>
        <w:numPr>
          <w:ilvl w:val="0"/>
          <w:numId w:val="20"/>
        </w:numPr>
        <w:spacing w:after="0" w:line="240" w:lineRule="auto"/>
        <w:rPr>
          <w:rFonts w:asciiTheme="minorHAnsi" w:hAnsiTheme="minorHAnsi"/>
          <w:sz w:val="22"/>
        </w:rPr>
      </w:pPr>
      <w:r w:rsidRPr="00DB5616">
        <w:rPr>
          <w:rFonts w:asciiTheme="minorHAnsi" w:hAnsiTheme="minorHAnsi"/>
          <w:sz w:val="22"/>
        </w:rPr>
        <w:t>Mettre en dynamique et accompagner les acteurs pour les inciter à déployer des écosystèmes hydrogène renouvelable,</w:t>
      </w:r>
    </w:p>
    <w:p w14:paraId="7D624070" w14:textId="77777777" w:rsidR="00402F98" w:rsidRPr="00DB5616" w:rsidRDefault="00402F98" w:rsidP="00402F98">
      <w:pPr>
        <w:numPr>
          <w:ilvl w:val="0"/>
          <w:numId w:val="20"/>
        </w:numPr>
        <w:spacing w:after="0" w:line="240" w:lineRule="auto"/>
        <w:rPr>
          <w:rFonts w:asciiTheme="minorHAnsi" w:hAnsiTheme="minorHAnsi"/>
          <w:sz w:val="22"/>
        </w:rPr>
      </w:pPr>
      <w:r w:rsidRPr="00DB5616">
        <w:rPr>
          <w:rFonts w:asciiTheme="minorHAnsi" w:hAnsiTheme="minorHAnsi"/>
          <w:sz w:val="22"/>
        </w:rPr>
        <w:t>Déployer dans les territoires des écosystèmes structurants, associant production, distribution et usages d’hydrogène décarboné et renouvelable,</w:t>
      </w:r>
    </w:p>
    <w:p w14:paraId="3D4EF3D6" w14:textId="77777777" w:rsidR="00402F98" w:rsidRPr="00DB5616" w:rsidRDefault="00402F98" w:rsidP="00402F98">
      <w:pPr>
        <w:numPr>
          <w:ilvl w:val="0"/>
          <w:numId w:val="20"/>
        </w:numPr>
        <w:spacing w:after="0" w:line="240" w:lineRule="auto"/>
        <w:rPr>
          <w:rFonts w:asciiTheme="minorHAnsi" w:hAnsiTheme="minorHAnsi"/>
          <w:sz w:val="22"/>
        </w:rPr>
      </w:pPr>
      <w:r w:rsidRPr="00DB5616">
        <w:rPr>
          <w:rFonts w:asciiTheme="minorHAnsi" w:hAnsiTheme="minorHAnsi"/>
          <w:sz w:val="22"/>
        </w:rPr>
        <w:t>Accompagner le changement d’échelle permettant la structuration de la filière industrielle et baisser les coûts.</w:t>
      </w:r>
    </w:p>
    <w:p w14:paraId="5D4A605A" w14:textId="77777777" w:rsidR="00402F98" w:rsidRPr="00DB5616" w:rsidRDefault="00402F98" w:rsidP="00402F98">
      <w:pPr>
        <w:spacing w:after="0" w:line="240" w:lineRule="auto"/>
        <w:rPr>
          <w:rFonts w:asciiTheme="minorHAnsi" w:hAnsiTheme="minorHAnsi"/>
          <w:sz w:val="22"/>
        </w:rPr>
      </w:pPr>
    </w:p>
    <w:p w14:paraId="095F52DC" w14:textId="77777777" w:rsidR="00402F98" w:rsidRPr="00DB5616" w:rsidRDefault="00402F98" w:rsidP="00402F98">
      <w:pPr>
        <w:shd w:val="clear" w:color="auto" w:fill="DEEAF6" w:themeFill="accent5" w:themeFillTint="33"/>
        <w:spacing w:after="0" w:line="240" w:lineRule="auto"/>
        <w:rPr>
          <w:rFonts w:asciiTheme="minorHAnsi" w:hAnsiTheme="minorHAnsi"/>
          <w:b/>
          <w:bCs/>
          <w:color w:val="002060"/>
          <w:sz w:val="28"/>
          <w:szCs w:val="28"/>
        </w:rPr>
      </w:pPr>
      <w:r w:rsidRPr="00DB5616">
        <w:rPr>
          <w:rFonts w:asciiTheme="minorHAnsi" w:hAnsiTheme="minorHAnsi"/>
          <w:b/>
          <w:bCs/>
          <w:color w:val="FFFFFF" w:themeColor="background1"/>
          <w:sz w:val="28"/>
          <w:szCs w:val="28"/>
          <w:shd w:val="clear" w:color="auto" w:fill="002060"/>
        </w:rPr>
        <w:t xml:space="preserve">QUOI ? </w:t>
      </w:r>
      <w:r w:rsidRPr="00DB5616">
        <w:rPr>
          <w:rFonts w:asciiTheme="minorHAnsi" w:hAnsiTheme="minorHAnsi"/>
          <w:b/>
          <w:bCs/>
          <w:color w:val="002060"/>
          <w:sz w:val="28"/>
          <w:szCs w:val="28"/>
        </w:rPr>
        <w:t xml:space="preserve"> Description des interventions soutenues dans le Programme </w:t>
      </w:r>
    </w:p>
    <w:p w14:paraId="28FA868F" w14:textId="77777777" w:rsidR="00402F98" w:rsidRPr="00DB5616" w:rsidRDefault="00402F98" w:rsidP="00402F98">
      <w:pPr>
        <w:spacing w:after="0" w:line="240" w:lineRule="auto"/>
        <w:rPr>
          <w:rFonts w:asciiTheme="minorHAnsi" w:hAnsiTheme="minorHAnsi"/>
          <w:sz w:val="22"/>
        </w:rPr>
      </w:pPr>
    </w:p>
    <w:p w14:paraId="2E08DE1D" w14:textId="77777777" w:rsidR="00402F98" w:rsidRPr="00DB5616" w:rsidRDefault="00402F98" w:rsidP="00402F98">
      <w:pPr>
        <w:spacing w:after="0" w:line="240" w:lineRule="auto"/>
        <w:rPr>
          <w:rFonts w:asciiTheme="minorHAnsi" w:hAnsiTheme="minorHAnsi" w:cstheme="minorHAnsi"/>
          <w:sz w:val="22"/>
        </w:rPr>
      </w:pPr>
      <w:r w:rsidRPr="00DB5616">
        <w:rPr>
          <w:rFonts w:asciiTheme="minorHAnsi" w:hAnsiTheme="minorHAnsi" w:cstheme="minorHAnsi"/>
          <w:sz w:val="22"/>
        </w:rPr>
        <w:t>Actions permettant de créer une dynamique régionale en faveur du développement de l’hydrogène renouvelable :</w:t>
      </w:r>
    </w:p>
    <w:p w14:paraId="253DC0EC" w14:textId="77777777" w:rsidR="00402F98" w:rsidRPr="00DB5616" w:rsidRDefault="00402F98" w:rsidP="00402F98">
      <w:pPr>
        <w:spacing w:after="0" w:line="240" w:lineRule="auto"/>
        <w:rPr>
          <w:rFonts w:asciiTheme="minorHAnsi" w:hAnsiTheme="minorHAnsi" w:cstheme="minorHAnsi"/>
          <w:sz w:val="22"/>
        </w:rPr>
      </w:pPr>
    </w:p>
    <w:p w14:paraId="4D1EF506" w14:textId="77777777" w:rsidR="00402F98" w:rsidRPr="00DB5616" w:rsidRDefault="00402F98" w:rsidP="00402F98">
      <w:pPr>
        <w:numPr>
          <w:ilvl w:val="0"/>
          <w:numId w:val="25"/>
        </w:numPr>
        <w:spacing w:after="0" w:line="240" w:lineRule="auto"/>
        <w:jc w:val="left"/>
        <w:rPr>
          <w:rFonts w:asciiTheme="minorHAnsi" w:hAnsiTheme="minorHAnsi" w:cstheme="minorHAnsi"/>
          <w:b/>
          <w:bCs/>
          <w:color w:val="002060"/>
          <w:sz w:val="22"/>
        </w:rPr>
      </w:pPr>
      <w:r w:rsidRPr="00DB5616">
        <w:rPr>
          <w:rFonts w:asciiTheme="minorHAnsi" w:hAnsiTheme="minorHAnsi" w:cstheme="minorHAnsi"/>
          <w:b/>
          <w:bCs/>
          <w:color w:val="002060"/>
          <w:sz w:val="22"/>
        </w:rPr>
        <w:t>- Soutien aux investissements relatifs au déploiement de démonstrateurs hydrogène renouvelable :</w:t>
      </w:r>
    </w:p>
    <w:p w14:paraId="37AAD879" w14:textId="77777777" w:rsidR="00402F98" w:rsidRPr="00DB5616" w:rsidRDefault="00402F98" w:rsidP="00402F98">
      <w:pPr>
        <w:spacing w:after="0" w:line="240" w:lineRule="auto"/>
        <w:rPr>
          <w:rFonts w:asciiTheme="minorHAnsi" w:hAnsiTheme="minorHAnsi" w:cstheme="minorHAnsi"/>
          <w:sz w:val="22"/>
        </w:rPr>
      </w:pPr>
    </w:p>
    <w:p w14:paraId="303F6603" w14:textId="77777777" w:rsidR="00402F98" w:rsidRPr="00DB5616" w:rsidRDefault="00402F98" w:rsidP="00402F98">
      <w:pPr>
        <w:spacing w:after="0" w:line="240" w:lineRule="auto"/>
        <w:rPr>
          <w:rFonts w:asciiTheme="minorHAnsi" w:hAnsiTheme="minorHAnsi" w:cstheme="minorHAnsi"/>
          <w:sz w:val="22"/>
        </w:rPr>
      </w:pPr>
      <w:r w:rsidRPr="00DB5616">
        <w:rPr>
          <w:rFonts w:asciiTheme="minorHAnsi" w:hAnsiTheme="minorHAnsi" w:cstheme="minorHAnsi"/>
          <w:sz w:val="22"/>
        </w:rPr>
        <w:t xml:space="preserve">Moyen de production d’hydrogène renouvelable et dérivés : </w:t>
      </w:r>
    </w:p>
    <w:p w14:paraId="0B394295" w14:textId="77777777" w:rsidR="00402F98" w:rsidRPr="00DB5616" w:rsidRDefault="00402F98" w:rsidP="00402F98">
      <w:pPr>
        <w:numPr>
          <w:ilvl w:val="0"/>
          <w:numId w:val="21"/>
        </w:numPr>
        <w:spacing w:after="0" w:line="240" w:lineRule="auto"/>
        <w:rPr>
          <w:rFonts w:asciiTheme="minorHAnsi" w:hAnsiTheme="minorHAnsi" w:cstheme="minorHAnsi"/>
          <w:sz w:val="22"/>
        </w:rPr>
      </w:pPr>
      <w:r w:rsidRPr="00DB5616">
        <w:rPr>
          <w:rFonts w:asciiTheme="minorHAnsi" w:hAnsiTheme="minorHAnsi" w:cstheme="minorHAnsi"/>
          <w:sz w:val="22"/>
        </w:rPr>
        <w:t xml:space="preserve">Installations de production d’hydrogène renouvelable de type : </w:t>
      </w:r>
    </w:p>
    <w:p w14:paraId="2EBBF82A" w14:textId="77777777" w:rsidR="00402F98" w:rsidRPr="00DB5616" w:rsidRDefault="00402F98" w:rsidP="00402F98">
      <w:pPr>
        <w:numPr>
          <w:ilvl w:val="0"/>
          <w:numId w:val="22"/>
        </w:numPr>
        <w:spacing w:after="0" w:line="240" w:lineRule="auto"/>
        <w:rPr>
          <w:rFonts w:asciiTheme="minorHAnsi" w:hAnsiTheme="minorHAnsi" w:cstheme="minorHAnsi"/>
          <w:sz w:val="22"/>
        </w:rPr>
      </w:pPr>
      <w:r w:rsidRPr="00DB5616">
        <w:rPr>
          <w:rFonts w:asciiTheme="minorHAnsi" w:hAnsiTheme="minorHAnsi" w:cstheme="minorHAnsi"/>
          <w:sz w:val="22"/>
        </w:rPr>
        <w:t xml:space="preserve">Electrolyseur alimenté par de l’électricité issue par des énergies renouvelables (Panneaux photovoltaïques, éolien, etc…) ou via un contrat garanti d’origine (GO) labélisés permettant de tracer l’origine de l’ENR (PPA, contrat gré à gré) passé avec des fournisseurs d’électricité renouvelable, </w:t>
      </w:r>
    </w:p>
    <w:p w14:paraId="7C2C3946" w14:textId="77777777" w:rsidR="00402F98" w:rsidRPr="00DB5616" w:rsidRDefault="00402F98" w:rsidP="00402F98">
      <w:pPr>
        <w:numPr>
          <w:ilvl w:val="0"/>
          <w:numId w:val="22"/>
        </w:numPr>
        <w:spacing w:after="0" w:line="240" w:lineRule="auto"/>
        <w:rPr>
          <w:rFonts w:asciiTheme="minorHAnsi" w:hAnsiTheme="minorHAnsi" w:cstheme="minorHAnsi"/>
          <w:sz w:val="22"/>
        </w:rPr>
      </w:pPr>
      <w:r w:rsidRPr="00DB5616">
        <w:rPr>
          <w:rFonts w:asciiTheme="minorHAnsi" w:hAnsiTheme="minorHAnsi" w:cstheme="minorHAnsi"/>
          <w:sz w:val="22"/>
        </w:rPr>
        <w:t>Installation de production d’hydrogène renouvelable à partir de biomasse (</w:t>
      </w:r>
      <w:proofErr w:type="spellStart"/>
      <w:r w:rsidRPr="00DB5616">
        <w:rPr>
          <w:rFonts w:asciiTheme="minorHAnsi" w:hAnsiTheme="minorHAnsi" w:cstheme="minorHAnsi"/>
          <w:sz w:val="22"/>
        </w:rPr>
        <w:t>pyro</w:t>
      </w:r>
      <w:proofErr w:type="spellEnd"/>
      <w:r w:rsidRPr="00DB5616">
        <w:rPr>
          <w:rFonts w:asciiTheme="minorHAnsi" w:hAnsiTheme="minorHAnsi" w:cstheme="minorHAnsi"/>
          <w:sz w:val="22"/>
        </w:rPr>
        <w:t>-gazéification, …).</w:t>
      </w:r>
    </w:p>
    <w:p w14:paraId="479E2059" w14:textId="77777777" w:rsidR="00402F98" w:rsidRPr="00DB5616" w:rsidRDefault="00402F98" w:rsidP="00402F98">
      <w:pPr>
        <w:numPr>
          <w:ilvl w:val="0"/>
          <w:numId w:val="21"/>
        </w:numPr>
        <w:spacing w:after="0" w:line="240" w:lineRule="auto"/>
        <w:rPr>
          <w:rFonts w:asciiTheme="minorHAnsi" w:hAnsiTheme="minorHAnsi" w:cstheme="minorHAnsi"/>
          <w:sz w:val="22"/>
        </w:rPr>
      </w:pPr>
      <w:r w:rsidRPr="00DB5616">
        <w:rPr>
          <w:rFonts w:asciiTheme="minorHAnsi" w:hAnsiTheme="minorHAnsi" w:cstheme="minorHAnsi"/>
          <w:sz w:val="22"/>
        </w:rPr>
        <w:t>Installations permettant de produire du biométhane de synthèse à partir d’hydrogène renouvelable de type power-to-</w:t>
      </w:r>
      <w:proofErr w:type="spellStart"/>
      <w:r w:rsidRPr="00DB5616">
        <w:rPr>
          <w:rFonts w:asciiTheme="minorHAnsi" w:hAnsiTheme="minorHAnsi" w:cstheme="minorHAnsi"/>
          <w:sz w:val="22"/>
        </w:rPr>
        <w:t>gas</w:t>
      </w:r>
      <w:proofErr w:type="spellEnd"/>
      <w:r w:rsidRPr="00DB5616">
        <w:rPr>
          <w:rFonts w:asciiTheme="minorHAnsi" w:hAnsiTheme="minorHAnsi" w:cstheme="minorHAnsi"/>
          <w:sz w:val="22"/>
        </w:rPr>
        <w:t>, méthanation.</w:t>
      </w:r>
    </w:p>
    <w:p w14:paraId="184BE228" w14:textId="77777777" w:rsidR="00402F98" w:rsidRPr="00DB5616" w:rsidRDefault="00402F98" w:rsidP="00402F98">
      <w:pPr>
        <w:spacing w:after="0" w:line="240" w:lineRule="auto"/>
        <w:rPr>
          <w:rFonts w:asciiTheme="minorHAnsi" w:hAnsiTheme="minorHAnsi" w:cstheme="minorHAnsi"/>
          <w:sz w:val="22"/>
        </w:rPr>
      </w:pPr>
    </w:p>
    <w:p w14:paraId="322FDA9F" w14:textId="77777777" w:rsidR="00402F98" w:rsidRPr="00DB5616" w:rsidRDefault="00402F98" w:rsidP="00402F98">
      <w:pPr>
        <w:spacing w:after="0" w:line="240" w:lineRule="auto"/>
        <w:rPr>
          <w:rFonts w:asciiTheme="minorHAnsi" w:hAnsiTheme="minorHAnsi" w:cstheme="minorHAnsi"/>
          <w:sz w:val="22"/>
        </w:rPr>
      </w:pPr>
      <w:r w:rsidRPr="00DB5616">
        <w:rPr>
          <w:rFonts w:asciiTheme="minorHAnsi" w:hAnsiTheme="minorHAnsi" w:cstheme="minorHAnsi"/>
          <w:sz w:val="22"/>
        </w:rPr>
        <w:t>Infrastructure de distribution de l’hydrogène renouvelable et dérivés :</w:t>
      </w:r>
    </w:p>
    <w:p w14:paraId="70E2C12D" w14:textId="77777777" w:rsidR="00402F98" w:rsidRPr="00DB5616" w:rsidRDefault="00402F98" w:rsidP="00402F98">
      <w:pPr>
        <w:numPr>
          <w:ilvl w:val="0"/>
          <w:numId w:val="23"/>
        </w:numPr>
        <w:spacing w:after="0" w:line="240" w:lineRule="auto"/>
        <w:rPr>
          <w:rFonts w:asciiTheme="minorHAnsi" w:hAnsiTheme="minorHAnsi" w:cstheme="minorHAnsi"/>
          <w:sz w:val="22"/>
        </w:rPr>
      </w:pPr>
      <w:r w:rsidRPr="00DB5616">
        <w:rPr>
          <w:rFonts w:asciiTheme="minorHAnsi" w:hAnsiTheme="minorHAnsi" w:cstheme="minorHAnsi"/>
          <w:sz w:val="22"/>
        </w:rPr>
        <w:t>Stations de distributions d’hydrogènes à 350 bars ou à 750 bars pour l’avitaillement de véhicules lourds, poids lourds, bus, BOM, train, vélo et éventuellement véhicules légers.</w:t>
      </w:r>
    </w:p>
    <w:p w14:paraId="4619DD20" w14:textId="77777777" w:rsidR="00402F98" w:rsidRPr="00DB5616" w:rsidRDefault="00402F98" w:rsidP="00402F98">
      <w:pPr>
        <w:numPr>
          <w:ilvl w:val="0"/>
          <w:numId w:val="23"/>
        </w:numPr>
        <w:spacing w:after="0" w:line="240" w:lineRule="auto"/>
        <w:rPr>
          <w:rFonts w:asciiTheme="minorHAnsi" w:hAnsiTheme="minorHAnsi" w:cstheme="minorHAnsi"/>
          <w:sz w:val="22"/>
        </w:rPr>
      </w:pPr>
      <w:r w:rsidRPr="00DB5616">
        <w:rPr>
          <w:rFonts w:asciiTheme="minorHAnsi" w:hAnsiTheme="minorHAnsi" w:cstheme="minorHAnsi"/>
          <w:sz w:val="22"/>
        </w:rPr>
        <w:t>Moyens de stockage de l’hydrogène renouvelable produit : réservoirs (tube trailer), citernes, prestations de transport de l’hydrogène,</w:t>
      </w:r>
      <w:r>
        <w:rPr>
          <w:rFonts w:asciiTheme="minorHAnsi" w:hAnsiTheme="minorHAnsi" w:cstheme="minorHAnsi"/>
          <w:sz w:val="22"/>
        </w:rPr>
        <w:t xml:space="preserve"> …</w:t>
      </w:r>
    </w:p>
    <w:p w14:paraId="6944DF2D" w14:textId="77777777" w:rsidR="00402F98" w:rsidRPr="00DB5616" w:rsidRDefault="00402F98" w:rsidP="00402F98">
      <w:pPr>
        <w:numPr>
          <w:ilvl w:val="0"/>
          <w:numId w:val="23"/>
        </w:numPr>
        <w:spacing w:after="0" w:line="240" w:lineRule="auto"/>
        <w:rPr>
          <w:rFonts w:asciiTheme="minorHAnsi" w:hAnsiTheme="minorHAnsi" w:cstheme="minorHAnsi"/>
          <w:sz w:val="22"/>
        </w:rPr>
      </w:pPr>
      <w:r w:rsidRPr="00DB5616">
        <w:rPr>
          <w:rFonts w:asciiTheme="minorHAnsi" w:hAnsiTheme="minorHAnsi" w:cstheme="minorHAnsi"/>
          <w:sz w:val="22"/>
        </w:rPr>
        <w:t>Réseau de transport de l’hydrogène renouvelable comme les pipelines, systèmes d’injection dans les réseaux ou dans les réservoirs souterrains de stockage.</w:t>
      </w:r>
    </w:p>
    <w:p w14:paraId="1232B74A" w14:textId="77777777" w:rsidR="00402F98" w:rsidRPr="00DB5616" w:rsidRDefault="00402F98" w:rsidP="00402F98">
      <w:pPr>
        <w:numPr>
          <w:ilvl w:val="0"/>
          <w:numId w:val="23"/>
        </w:numPr>
        <w:spacing w:after="0" w:line="240" w:lineRule="auto"/>
        <w:rPr>
          <w:rFonts w:asciiTheme="minorHAnsi" w:hAnsiTheme="minorHAnsi" w:cstheme="minorHAnsi"/>
          <w:sz w:val="22"/>
        </w:rPr>
      </w:pPr>
      <w:r w:rsidRPr="00DB5616">
        <w:rPr>
          <w:rFonts w:asciiTheme="minorHAnsi" w:hAnsiTheme="minorHAnsi" w:cstheme="minorHAnsi"/>
          <w:sz w:val="22"/>
        </w:rPr>
        <w:t>Raccordement entre l’installation ENR et l’unité de production de l’hydrogène.</w:t>
      </w:r>
    </w:p>
    <w:p w14:paraId="3EAE419D" w14:textId="77777777" w:rsidR="00402F98" w:rsidRPr="00DB5616" w:rsidRDefault="00402F98" w:rsidP="00402F98">
      <w:pPr>
        <w:spacing w:after="0" w:line="240" w:lineRule="auto"/>
        <w:rPr>
          <w:rFonts w:asciiTheme="minorHAnsi" w:hAnsiTheme="minorHAnsi" w:cstheme="minorHAnsi"/>
          <w:sz w:val="22"/>
        </w:rPr>
      </w:pPr>
    </w:p>
    <w:p w14:paraId="3E17F28F" w14:textId="77777777" w:rsidR="00402F98" w:rsidRPr="00DB5616" w:rsidRDefault="00402F98" w:rsidP="00402F98">
      <w:pPr>
        <w:numPr>
          <w:ilvl w:val="0"/>
          <w:numId w:val="25"/>
        </w:numPr>
        <w:spacing w:after="0" w:line="240" w:lineRule="auto"/>
        <w:rPr>
          <w:rFonts w:asciiTheme="minorHAnsi" w:hAnsiTheme="minorHAnsi"/>
          <w:sz w:val="22"/>
        </w:rPr>
      </w:pPr>
      <w:r w:rsidRPr="00DB5616">
        <w:rPr>
          <w:rFonts w:asciiTheme="minorHAnsi" w:hAnsiTheme="minorHAnsi" w:cstheme="minorHAnsi"/>
          <w:sz w:val="22"/>
        </w:rPr>
        <w:t xml:space="preserve">- </w:t>
      </w:r>
      <w:r w:rsidRPr="00DB5616">
        <w:rPr>
          <w:rFonts w:asciiTheme="minorHAnsi" w:hAnsiTheme="minorHAnsi"/>
          <w:b/>
          <w:bCs/>
          <w:color w:val="002060"/>
          <w:sz w:val="22"/>
        </w:rPr>
        <w:t>Soutien aux actions d’animation de la filière hydrogène et de la connaissance :</w:t>
      </w:r>
    </w:p>
    <w:p w14:paraId="37C13F93" w14:textId="77777777" w:rsidR="00402F98" w:rsidRPr="00DB5616" w:rsidRDefault="00402F98" w:rsidP="00402F98">
      <w:pPr>
        <w:spacing w:after="0" w:line="240" w:lineRule="auto"/>
        <w:rPr>
          <w:rFonts w:asciiTheme="minorHAnsi" w:hAnsiTheme="minorHAnsi" w:cstheme="minorHAnsi"/>
          <w:sz w:val="22"/>
        </w:rPr>
      </w:pPr>
    </w:p>
    <w:p w14:paraId="0BB0CC43" w14:textId="77777777" w:rsidR="00402F98" w:rsidRPr="00DB5616" w:rsidRDefault="00402F98" w:rsidP="00402F98">
      <w:pPr>
        <w:numPr>
          <w:ilvl w:val="0"/>
          <w:numId w:val="23"/>
        </w:numPr>
        <w:spacing w:after="0" w:line="240" w:lineRule="auto"/>
        <w:rPr>
          <w:rFonts w:asciiTheme="minorHAnsi" w:hAnsiTheme="minorHAnsi" w:cstheme="minorHAnsi"/>
          <w:sz w:val="22"/>
        </w:rPr>
      </w:pPr>
      <w:r w:rsidRPr="00DB5616">
        <w:rPr>
          <w:rFonts w:asciiTheme="minorHAnsi" w:hAnsiTheme="minorHAnsi" w:cstheme="minorHAnsi"/>
          <w:sz w:val="22"/>
        </w:rPr>
        <w:t>Les missions de conseil, d’accompagnement des porteurs de projet sur les aspects techniques et financiers (mobilisation des subventions, instruments financiers Européen, dispositifs nationaux),</w:t>
      </w:r>
    </w:p>
    <w:p w14:paraId="1898E25C" w14:textId="77777777" w:rsidR="00402F98" w:rsidRPr="00DB5616" w:rsidRDefault="00402F98" w:rsidP="00402F98">
      <w:pPr>
        <w:numPr>
          <w:ilvl w:val="0"/>
          <w:numId w:val="23"/>
        </w:numPr>
        <w:spacing w:after="0" w:line="240" w:lineRule="auto"/>
        <w:rPr>
          <w:rFonts w:asciiTheme="minorHAnsi" w:hAnsiTheme="minorHAnsi" w:cstheme="minorHAnsi"/>
          <w:sz w:val="22"/>
        </w:rPr>
      </w:pPr>
      <w:r w:rsidRPr="00DB5616">
        <w:rPr>
          <w:rFonts w:asciiTheme="minorHAnsi" w:hAnsiTheme="minorHAnsi" w:cstheme="minorHAnsi"/>
          <w:sz w:val="22"/>
        </w:rPr>
        <w:t>Centre de ressources réalisant du partage d’expérience, de la veille technique et financière, de la capitalisation de la connaissance, ...</w:t>
      </w:r>
    </w:p>
    <w:p w14:paraId="3C30A9DB" w14:textId="77777777" w:rsidR="00402F98" w:rsidRPr="00DB5616" w:rsidRDefault="00402F98" w:rsidP="00402F98">
      <w:pPr>
        <w:numPr>
          <w:ilvl w:val="0"/>
          <w:numId w:val="23"/>
        </w:numPr>
        <w:spacing w:after="0" w:line="240" w:lineRule="auto"/>
        <w:rPr>
          <w:rFonts w:asciiTheme="minorHAnsi" w:hAnsiTheme="minorHAnsi" w:cstheme="minorHAnsi"/>
          <w:sz w:val="22"/>
        </w:rPr>
      </w:pPr>
      <w:r w:rsidRPr="00DB5616">
        <w:rPr>
          <w:rFonts w:asciiTheme="minorHAnsi" w:hAnsiTheme="minorHAnsi" w:cstheme="minorHAnsi"/>
          <w:sz w:val="22"/>
        </w:rPr>
        <w:t>Observation de la dynamique de déploiement des solutions et filière de l’hydrogène renouvelable et décarboné sur le territoire régional, ….</w:t>
      </w:r>
    </w:p>
    <w:p w14:paraId="31F10682" w14:textId="77777777" w:rsidR="00402F98" w:rsidRPr="00DB5616" w:rsidRDefault="00402F98" w:rsidP="00402F98">
      <w:pPr>
        <w:numPr>
          <w:ilvl w:val="0"/>
          <w:numId w:val="23"/>
        </w:numPr>
        <w:spacing w:after="0" w:line="240" w:lineRule="auto"/>
        <w:rPr>
          <w:rFonts w:asciiTheme="minorHAnsi" w:hAnsiTheme="minorHAnsi" w:cstheme="minorHAnsi"/>
          <w:sz w:val="22"/>
        </w:rPr>
      </w:pPr>
      <w:r w:rsidRPr="00DB5616">
        <w:rPr>
          <w:rFonts w:asciiTheme="minorHAnsi" w:hAnsiTheme="minorHAnsi" w:cstheme="minorHAnsi"/>
          <w:sz w:val="22"/>
        </w:rPr>
        <w:t>Animation de réseau : communication, mise en réseau, animation de groupes de travail ….</w:t>
      </w:r>
    </w:p>
    <w:p w14:paraId="06937BCD" w14:textId="77777777" w:rsidR="00402F98" w:rsidRPr="00DB5616" w:rsidRDefault="00402F98" w:rsidP="00402F98">
      <w:pPr>
        <w:numPr>
          <w:ilvl w:val="0"/>
          <w:numId w:val="23"/>
        </w:numPr>
        <w:spacing w:after="0" w:line="240" w:lineRule="auto"/>
        <w:rPr>
          <w:rFonts w:asciiTheme="minorHAnsi" w:hAnsiTheme="minorHAnsi"/>
          <w:sz w:val="22"/>
        </w:rPr>
      </w:pPr>
      <w:r w:rsidRPr="00DB5616">
        <w:rPr>
          <w:rFonts w:asciiTheme="minorHAnsi" w:hAnsiTheme="minorHAnsi" w:cstheme="minorHAnsi"/>
          <w:sz w:val="22"/>
        </w:rPr>
        <w:t>Retours d’expériences sur le fonctionnement des écosystèmes hydrogène en exploitation.</w:t>
      </w:r>
    </w:p>
    <w:p w14:paraId="63012164" w14:textId="77777777" w:rsidR="00402F98" w:rsidRPr="00DB5616" w:rsidRDefault="00402F98" w:rsidP="00402F98">
      <w:pPr>
        <w:spacing w:after="0" w:line="240" w:lineRule="auto"/>
        <w:ind w:left="720"/>
        <w:rPr>
          <w:rFonts w:asciiTheme="minorHAnsi" w:hAnsiTheme="minorHAnsi"/>
          <w:sz w:val="22"/>
        </w:rPr>
      </w:pPr>
    </w:p>
    <w:p w14:paraId="3D6AE2D4" w14:textId="77777777" w:rsidR="00402F98" w:rsidRPr="00DB5616" w:rsidRDefault="00402F98" w:rsidP="00402F98">
      <w:pPr>
        <w:shd w:val="clear" w:color="auto" w:fill="B3FFEB"/>
        <w:spacing w:after="0" w:line="240" w:lineRule="auto"/>
        <w:rPr>
          <w:rFonts w:asciiTheme="minorHAnsi" w:hAnsiTheme="minorHAnsi"/>
          <w:b/>
          <w:bCs/>
          <w:sz w:val="28"/>
          <w:szCs w:val="28"/>
        </w:rPr>
      </w:pPr>
      <w:r w:rsidRPr="00DB5616">
        <w:rPr>
          <w:rFonts w:asciiTheme="minorHAnsi" w:hAnsiTheme="minorHAnsi"/>
          <w:b/>
          <w:bCs/>
          <w:color w:val="FFFFFF" w:themeColor="background1"/>
          <w:sz w:val="28"/>
          <w:szCs w:val="28"/>
          <w:shd w:val="clear" w:color="auto" w:fill="00CC99"/>
        </w:rPr>
        <w:t xml:space="preserve">QUI ? </w:t>
      </w:r>
      <w:r w:rsidRPr="00DB5616">
        <w:rPr>
          <w:rFonts w:asciiTheme="minorHAnsi" w:hAnsiTheme="minorHAnsi"/>
          <w:b/>
          <w:bCs/>
          <w:sz w:val="28"/>
          <w:szCs w:val="28"/>
        </w:rPr>
        <w:t xml:space="preserve"> </w:t>
      </w:r>
      <w:r w:rsidRPr="00DB5616">
        <w:rPr>
          <w:rFonts w:asciiTheme="minorHAnsi" w:hAnsiTheme="minorHAnsi"/>
          <w:b/>
          <w:bCs/>
          <w:color w:val="002060"/>
          <w:sz w:val="28"/>
          <w:szCs w:val="28"/>
        </w:rPr>
        <w:t>Bénéficiaires potentiels</w:t>
      </w:r>
    </w:p>
    <w:p w14:paraId="488CAF43" w14:textId="77777777" w:rsidR="00402F98" w:rsidRPr="00DB5616" w:rsidRDefault="00402F98" w:rsidP="00402F98">
      <w:pPr>
        <w:spacing w:after="0" w:line="240" w:lineRule="auto"/>
        <w:rPr>
          <w:rFonts w:asciiTheme="minorHAnsi" w:hAnsiTheme="minorHAnsi"/>
          <w:sz w:val="22"/>
        </w:rPr>
      </w:pPr>
    </w:p>
    <w:p w14:paraId="582C8BC8" w14:textId="77777777" w:rsidR="00402F98" w:rsidRDefault="00402F98" w:rsidP="00402F98">
      <w:pPr>
        <w:numPr>
          <w:ilvl w:val="0"/>
          <w:numId w:val="23"/>
        </w:numPr>
        <w:spacing w:after="0" w:line="240" w:lineRule="auto"/>
        <w:jc w:val="left"/>
        <w:rPr>
          <w:rFonts w:asciiTheme="minorHAnsi" w:hAnsiTheme="minorHAnsi"/>
          <w:sz w:val="22"/>
        </w:rPr>
      </w:pPr>
      <w:r w:rsidRPr="00DB5616">
        <w:rPr>
          <w:rFonts w:asciiTheme="minorHAnsi" w:hAnsiTheme="minorHAnsi"/>
          <w:sz w:val="22"/>
        </w:rPr>
        <w:t xml:space="preserve">Collectivités territoriales et leurs groupements, </w:t>
      </w:r>
    </w:p>
    <w:p w14:paraId="3FFB6DD2" w14:textId="77777777" w:rsidR="00402F98" w:rsidRPr="00DB5616" w:rsidRDefault="00402F98" w:rsidP="00402F98">
      <w:pPr>
        <w:numPr>
          <w:ilvl w:val="0"/>
          <w:numId w:val="23"/>
        </w:numPr>
        <w:spacing w:after="0" w:line="240" w:lineRule="auto"/>
        <w:jc w:val="left"/>
        <w:rPr>
          <w:rFonts w:asciiTheme="minorHAnsi" w:hAnsiTheme="minorHAnsi"/>
          <w:sz w:val="22"/>
        </w:rPr>
      </w:pPr>
      <w:r>
        <w:rPr>
          <w:rFonts w:asciiTheme="minorHAnsi" w:hAnsiTheme="minorHAnsi"/>
          <w:sz w:val="22"/>
        </w:rPr>
        <w:t>Etablissements publics</w:t>
      </w:r>
    </w:p>
    <w:p w14:paraId="2BB0D5ED" w14:textId="77777777" w:rsidR="00402F98" w:rsidRPr="00DB5616" w:rsidRDefault="00402F98" w:rsidP="00402F98">
      <w:pPr>
        <w:numPr>
          <w:ilvl w:val="0"/>
          <w:numId w:val="23"/>
        </w:numPr>
        <w:spacing w:after="0" w:line="240" w:lineRule="auto"/>
        <w:jc w:val="left"/>
        <w:rPr>
          <w:rFonts w:asciiTheme="minorHAnsi" w:hAnsiTheme="minorHAnsi"/>
          <w:sz w:val="22"/>
        </w:rPr>
      </w:pPr>
      <w:r w:rsidRPr="00DB5616">
        <w:rPr>
          <w:rFonts w:asciiTheme="minorHAnsi" w:hAnsiTheme="minorHAnsi"/>
          <w:sz w:val="22"/>
        </w:rPr>
        <w:t>Associations,</w:t>
      </w:r>
    </w:p>
    <w:p w14:paraId="3A0BA743" w14:textId="77777777" w:rsidR="00402F98" w:rsidRPr="00DB5616" w:rsidRDefault="00402F98" w:rsidP="00402F98">
      <w:pPr>
        <w:numPr>
          <w:ilvl w:val="0"/>
          <w:numId w:val="23"/>
        </w:numPr>
        <w:spacing w:after="0" w:line="240" w:lineRule="auto"/>
        <w:jc w:val="left"/>
        <w:rPr>
          <w:rFonts w:asciiTheme="minorHAnsi" w:hAnsiTheme="minorHAnsi"/>
          <w:sz w:val="22"/>
        </w:rPr>
      </w:pPr>
      <w:r w:rsidRPr="00DB5616">
        <w:rPr>
          <w:rFonts w:asciiTheme="minorHAnsi" w:hAnsiTheme="minorHAnsi"/>
          <w:sz w:val="22"/>
        </w:rPr>
        <w:t>Entreprises (TPE, PME</w:t>
      </w:r>
      <w:r>
        <w:rPr>
          <w:rFonts w:asciiTheme="minorHAnsi" w:hAnsiTheme="minorHAnsi"/>
          <w:sz w:val="22"/>
        </w:rPr>
        <w:t xml:space="preserve"> et ETI dans le cadre d’une collaboration avec une PME</w:t>
      </w:r>
      <w:r w:rsidRPr="00DB5616">
        <w:rPr>
          <w:rFonts w:asciiTheme="minorHAnsi" w:hAnsiTheme="minorHAnsi"/>
          <w:sz w:val="22"/>
        </w:rPr>
        <w:t>),</w:t>
      </w:r>
    </w:p>
    <w:p w14:paraId="6C1C77B9" w14:textId="77777777" w:rsidR="00402F98" w:rsidRPr="00295242" w:rsidRDefault="00402F98" w:rsidP="00402F98">
      <w:pPr>
        <w:numPr>
          <w:ilvl w:val="0"/>
          <w:numId w:val="23"/>
        </w:numPr>
        <w:spacing w:after="0" w:line="240" w:lineRule="auto"/>
        <w:jc w:val="left"/>
        <w:rPr>
          <w:rFonts w:asciiTheme="minorHAnsi" w:hAnsiTheme="minorHAnsi"/>
          <w:strike/>
          <w:sz w:val="22"/>
        </w:rPr>
      </w:pPr>
      <w:r w:rsidRPr="00295242">
        <w:rPr>
          <w:rFonts w:asciiTheme="minorHAnsi" w:hAnsiTheme="minorHAnsi"/>
          <w:sz w:val="22"/>
        </w:rPr>
        <w:t>Sociétés de projet gouvernées par les acteurs du territoire,</w:t>
      </w:r>
    </w:p>
    <w:p w14:paraId="1B29F1DD" w14:textId="77777777" w:rsidR="00402F98" w:rsidRPr="00DB5616" w:rsidRDefault="00402F98" w:rsidP="00402F98">
      <w:pPr>
        <w:numPr>
          <w:ilvl w:val="0"/>
          <w:numId w:val="23"/>
        </w:numPr>
        <w:spacing w:after="0" w:line="240" w:lineRule="auto"/>
        <w:jc w:val="left"/>
        <w:rPr>
          <w:rFonts w:asciiTheme="minorHAnsi" w:hAnsiTheme="minorHAnsi"/>
          <w:sz w:val="22"/>
        </w:rPr>
      </w:pPr>
      <w:r w:rsidRPr="00DB5616">
        <w:rPr>
          <w:rFonts w:asciiTheme="minorHAnsi" w:hAnsiTheme="minorHAnsi"/>
          <w:sz w:val="22"/>
        </w:rPr>
        <w:t>Laboratoires de recherche.</w:t>
      </w:r>
    </w:p>
    <w:p w14:paraId="3330764A" w14:textId="77777777" w:rsidR="00402F98" w:rsidRPr="00DB5616" w:rsidRDefault="00402F98" w:rsidP="00402F98">
      <w:pPr>
        <w:spacing w:after="0" w:line="240" w:lineRule="auto"/>
        <w:rPr>
          <w:rFonts w:asciiTheme="minorHAnsi" w:hAnsiTheme="minorHAnsi"/>
          <w:sz w:val="22"/>
        </w:rPr>
      </w:pPr>
    </w:p>
    <w:p w14:paraId="6536C7E7" w14:textId="77777777" w:rsidR="00402F98" w:rsidRPr="00DB5616" w:rsidRDefault="00402F98" w:rsidP="00402F98">
      <w:pPr>
        <w:shd w:val="clear" w:color="auto" w:fill="C5F0FF"/>
        <w:spacing w:after="0" w:line="240" w:lineRule="auto"/>
        <w:rPr>
          <w:rFonts w:asciiTheme="minorHAnsi" w:hAnsiTheme="minorHAnsi"/>
          <w:b/>
          <w:bCs/>
          <w:color w:val="002060"/>
          <w:sz w:val="28"/>
          <w:szCs w:val="28"/>
        </w:rPr>
      </w:pPr>
      <w:r w:rsidRPr="00DB5616">
        <w:rPr>
          <w:rFonts w:asciiTheme="minorHAnsi" w:hAnsiTheme="minorHAnsi"/>
          <w:b/>
          <w:bCs/>
          <w:color w:val="FFFFFF" w:themeColor="background1"/>
          <w:sz w:val="28"/>
          <w:szCs w:val="28"/>
          <w:shd w:val="clear" w:color="auto" w:fill="0099CC"/>
        </w:rPr>
        <w:t>O</w:t>
      </w:r>
      <w:r w:rsidRPr="00DB5616">
        <w:rPr>
          <w:rFonts w:asciiTheme="minorHAnsi" w:hAnsiTheme="minorHAnsi" w:cstheme="minorHAnsi"/>
          <w:b/>
          <w:bCs/>
          <w:color w:val="FFFFFF" w:themeColor="background1"/>
          <w:sz w:val="28"/>
          <w:szCs w:val="28"/>
          <w:shd w:val="clear" w:color="auto" w:fill="0099CC"/>
        </w:rPr>
        <w:t>Ù</w:t>
      </w:r>
      <w:r w:rsidRPr="00DB5616">
        <w:rPr>
          <w:rFonts w:asciiTheme="minorHAnsi" w:hAnsiTheme="minorHAnsi"/>
          <w:b/>
          <w:bCs/>
          <w:color w:val="FFFFFF" w:themeColor="background1"/>
          <w:sz w:val="28"/>
          <w:szCs w:val="28"/>
          <w:shd w:val="clear" w:color="auto" w:fill="0099CC"/>
        </w:rPr>
        <w:t> ?</w:t>
      </w:r>
      <w:r w:rsidRPr="00DB5616">
        <w:rPr>
          <w:rFonts w:asciiTheme="minorHAnsi" w:hAnsiTheme="minorHAnsi"/>
          <w:b/>
          <w:bCs/>
          <w:sz w:val="28"/>
          <w:szCs w:val="28"/>
          <w:shd w:val="clear" w:color="auto" w:fill="0099CC"/>
        </w:rPr>
        <w:t xml:space="preserve"> </w:t>
      </w:r>
      <w:r w:rsidRPr="00DB5616">
        <w:rPr>
          <w:rFonts w:asciiTheme="minorHAnsi" w:hAnsiTheme="minorHAnsi"/>
          <w:b/>
          <w:bCs/>
          <w:sz w:val="28"/>
          <w:szCs w:val="28"/>
        </w:rPr>
        <w:t xml:space="preserve"> </w:t>
      </w:r>
      <w:r w:rsidRPr="00DB5616">
        <w:rPr>
          <w:rFonts w:asciiTheme="minorHAnsi" w:hAnsiTheme="minorHAnsi"/>
          <w:b/>
          <w:bCs/>
          <w:color w:val="002060"/>
          <w:sz w:val="28"/>
          <w:szCs w:val="28"/>
        </w:rPr>
        <w:t>Territoires cibles</w:t>
      </w:r>
    </w:p>
    <w:p w14:paraId="019FCCA7" w14:textId="77777777" w:rsidR="00402F98" w:rsidRPr="00DB5616" w:rsidRDefault="00402F98" w:rsidP="00402F98">
      <w:pPr>
        <w:spacing w:after="0" w:line="240" w:lineRule="auto"/>
        <w:rPr>
          <w:rFonts w:asciiTheme="minorHAnsi" w:hAnsiTheme="minorHAnsi"/>
          <w:sz w:val="22"/>
        </w:rPr>
      </w:pPr>
    </w:p>
    <w:p w14:paraId="6A7ACD13" w14:textId="77777777" w:rsidR="00402F98" w:rsidRPr="00DB5616" w:rsidRDefault="00402F98" w:rsidP="00402F98">
      <w:pPr>
        <w:spacing w:after="0" w:line="240" w:lineRule="auto"/>
        <w:rPr>
          <w:rFonts w:asciiTheme="minorHAnsi" w:hAnsiTheme="minorHAnsi"/>
          <w:sz w:val="22"/>
        </w:rPr>
      </w:pPr>
      <w:r w:rsidRPr="00DB5616">
        <w:rPr>
          <w:rFonts w:asciiTheme="minorHAnsi" w:hAnsiTheme="minorHAnsi"/>
          <w:sz w:val="22"/>
        </w:rPr>
        <w:t>Région Centre-Val de Loire</w:t>
      </w:r>
    </w:p>
    <w:p w14:paraId="041A4AC4" w14:textId="77777777" w:rsidR="00402F98" w:rsidRPr="00DB5616" w:rsidRDefault="00402F98" w:rsidP="00402F98">
      <w:pPr>
        <w:spacing w:after="0" w:line="240" w:lineRule="auto"/>
        <w:rPr>
          <w:rFonts w:asciiTheme="minorHAnsi" w:hAnsiTheme="minorHAnsi"/>
          <w:sz w:val="22"/>
        </w:rPr>
      </w:pPr>
    </w:p>
    <w:p w14:paraId="7FB2FF9D" w14:textId="77777777" w:rsidR="00402F98" w:rsidRPr="00DB5616" w:rsidRDefault="00402F98" w:rsidP="00402F98">
      <w:pPr>
        <w:shd w:val="clear" w:color="auto" w:fill="FBE4D5" w:themeFill="accent2" w:themeFillTint="33"/>
        <w:spacing w:after="0" w:line="240" w:lineRule="auto"/>
        <w:rPr>
          <w:rFonts w:asciiTheme="minorHAnsi" w:hAnsiTheme="minorHAnsi"/>
          <w:b/>
          <w:bCs/>
          <w:sz w:val="28"/>
          <w:szCs w:val="28"/>
        </w:rPr>
      </w:pPr>
      <w:r w:rsidRPr="00DB5616">
        <w:rPr>
          <w:rFonts w:asciiTheme="minorHAnsi" w:hAnsiTheme="minorHAnsi"/>
          <w:b/>
          <w:bCs/>
          <w:color w:val="FFFFFF" w:themeColor="background1"/>
          <w:sz w:val="28"/>
          <w:szCs w:val="28"/>
          <w:shd w:val="clear" w:color="auto" w:fill="ED7D31" w:themeFill="accent2"/>
        </w:rPr>
        <w:t>QUELLES CONDITIONS ?</w:t>
      </w:r>
      <w:r w:rsidRPr="00DB5616">
        <w:rPr>
          <w:rFonts w:asciiTheme="minorHAnsi" w:hAnsiTheme="minorHAnsi"/>
          <w:b/>
          <w:bCs/>
          <w:sz w:val="28"/>
          <w:szCs w:val="28"/>
          <w:shd w:val="clear" w:color="auto" w:fill="ED7D31" w:themeFill="accent2"/>
        </w:rPr>
        <w:t xml:space="preserve"> </w:t>
      </w:r>
      <w:r w:rsidRPr="00DB5616">
        <w:rPr>
          <w:rFonts w:asciiTheme="minorHAnsi" w:hAnsiTheme="minorHAnsi"/>
          <w:b/>
          <w:bCs/>
          <w:sz w:val="28"/>
          <w:szCs w:val="28"/>
        </w:rPr>
        <w:t xml:space="preserve"> </w:t>
      </w:r>
      <w:r w:rsidRPr="00DB5616">
        <w:rPr>
          <w:rFonts w:asciiTheme="minorHAnsi" w:hAnsiTheme="minorHAnsi"/>
          <w:b/>
          <w:bCs/>
          <w:color w:val="002060"/>
          <w:sz w:val="28"/>
          <w:szCs w:val="28"/>
        </w:rPr>
        <w:t>Critères de sélection des projets</w:t>
      </w:r>
    </w:p>
    <w:p w14:paraId="11053601" w14:textId="77777777" w:rsidR="00402F98" w:rsidRPr="00DB5616" w:rsidRDefault="00402F98" w:rsidP="00402F98">
      <w:pPr>
        <w:spacing w:after="0" w:line="240" w:lineRule="auto"/>
        <w:rPr>
          <w:rFonts w:ascii="Calibri" w:hAnsi="Calibri" w:cs="Calibri"/>
          <w:b/>
          <w:bCs/>
          <w:color w:val="002060"/>
          <w:sz w:val="22"/>
        </w:rPr>
      </w:pPr>
    </w:p>
    <w:p w14:paraId="0FF58388" w14:textId="77777777" w:rsidR="00402F98" w:rsidRPr="00295242" w:rsidRDefault="00402F98" w:rsidP="00402F98">
      <w:pPr>
        <w:spacing w:after="0" w:line="240" w:lineRule="auto"/>
        <w:rPr>
          <w:rFonts w:ascii="Calibri" w:hAnsi="Calibri" w:cs="Calibri"/>
          <w:sz w:val="22"/>
        </w:rPr>
      </w:pPr>
      <w:r w:rsidRPr="00295242">
        <w:rPr>
          <w:rFonts w:ascii="Calibri" w:hAnsi="Calibri" w:cs="Calibri"/>
          <w:sz w:val="22"/>
        </w:rPr>
        <w:t xml:space="preserve">Concernant les investissements, FEDER pourra intervenir en complémentarité ou en substitution des aides de l’ADEME dans le cadre des appels à projet ADEME. Des projets pourront également être soumis au fil de l’eau. </w:t>
      </w:r>
    </w:p>
    <w:p w14:paraId="58C3B09A" w14:textId="77777777" w:rsidR="00402F98" w:rsidRPr="00295242" w:rsidRDefault="00402F98" w:rsidP="00402F98">
      <w:pPr>
        <w:spacing w:after="0" w:line="240" w:lineRule="auto"/>
        <w:rPr>
          <w:rFonts w:ascii="Calibri" w:hAnsi="Calibri" w:cs="Calibri"/>
          <w:b/>
          <w:bCs/>
          <w:color w:val="002060"/>
          <w:sz w:val="22"/>
        </w:rPr>
      </w:pPr>
    </w:p>
    <w:p w14:paraId="665AE6A0" w14:textId="77777777" w:rsidR="00402F98" w:rsidRPr="00295242" w:rsidRDefault="00402F98" w:rsidP="00402F98">
      <w:pPr>
        <w:spacing w:after="0" w:line="240" w:lineRule="auto"/>
        <w:rPr>
          <w:rFonts w:ascii="Calibri" w:hAnsi="Calibri" w:cs="Calibri"/>
          <w:sz w:val="22"/>
        </w:rPr>
      </w:pPr>
      <w:r w:rsidRPr="00295242">
        <w:rPr>
          <w:rFonts w:ascii="Calibri" w:hAnsi="Calibri" w:cs="Calibri"/>
          <w:sz w:val="22"/>
        </w:rPr>
        <w:t>Les critères de l’appel à projets ADEME seront précisés dans le cadre d’un cahier des charges qui abordera les thématiques suivantes :</w:t>
      </w:r>
    </w:p>
    <w:p w14:paraId="484E6A6E" w14:textId="77777777" w:rsidR="00402F98" w:rsidRPr="00295242" w:rsidRDefault="00402F98" w:rsidP="00402F98">
      <w:pPr>
        <w:numPr>
          <w:ilvl w:val="0"/>
          <w:numId w:val="24"/>
        </w:numPr>
        <w:spacing w:after="0" w:line="240" w:lineRule="auto"/>
        <w:jc w:val="left"/>
        <w:rPr>
          <w:rFonts w:ascii="Calibri" w:hAnsi="Calibri" w:cs="Calibri"/>
          <w:sz w:val="22"/>
        </w:rPr>
      </w:pPr>
      <w:proofErr w:type="gramStart"/>
      <w:r w:rsidRPr="00295242">
        <w:rPr>
          <w:rFonts w:ascii="Calibri" w:hAnsi="Calibri" w:cs="Calibri"/>
          <w:sz w:val="22"/>
        </w:rPr>
        <w:t>impact</w:t>
      </w:r>
      <w:proofErr w:type="gramEnd"/>
      <w:r w:rsidRPr="00295242">
        <w:rPr>
          <w:rFonts w:ascii="Calibri" w:hAnsi="Calibri" w:cs="Calibri"/>
          <w:sz w:val="22"/>
        </w:rPr>
        <w:t xml:space="preserve"> environnemental ;</w:t>
      </w:r>
    </w:p>
    <w:p w14:paraId="0355E3CB" w14:textId="77777777" w:rsidR="00402F98" w:rsidRPr="00295242" w:rsidRDefault="00402F98" w:rsidP="00402F98">
      <w:pPr>
        <w:numPr>
          <w:ilvl w:val="0"/>
          <w:numId w:val="24"/>
        </w:numPr>
        <w:spacing w:after="0" w:line="240" w:lineRule="auto"/>
        <w:jc w:val="left"/>
        <w:rPr>
          <w:rFonts w:ascii="Calibri" w:hAnsi="Calibri" w:cs="Calibri"/>
          <w:sz w:val="22"/>
        </w:rPr>
      </w:pPr>
      <w:r w:rsidRPr="00295242">
        <w:rPr>
          <w:rFonts w:ascii="Calibri" w:hAnsi="Calibri" w:cs="Calibri"/>
          <w:sz w:val="22"/>
        </w:rPr>
        <w:t xml:space="preserve">Justification des usages ; </w:t>
      </w:r>
    </w:p>
    <w:p w14:paraId="11109075" w14:textId="77777777" w:rsidR="00402F98" w:rsidRPr="00295242" w:rsidRDefault="00402F98" w:rsidP="00402F98">
      <w:pPr>
        <w:numPr>
          <w:ilvl w:val="0"/>
          <w:numId w:val="24"/>
        </w:numPr>
        <w:spacing w:after="0" w:line="240" w:lineRule="auto"/>
        <w:jc w:val="left"/>
        <w:rPr>
          <w:rFonts w:ascii="Calibri" w:hAnsi="Calibri" w:cs="Calibri"/>
          <w:sz w:val="22"/>
        </w:rPr>
      </w:pPr>
      <w:r w:rsidRPr="00295242">
        <w:rPr>
          <w:rFonts w:ascii="Calibri" w:hAnsi="Calibri" w:cs="Calibri"/>
          <w:sz w:val="22"/>
        </w:rPr>
        <w:t xml:space="preserve">Qualité du consortium ; </w:t>
      </w:r>
    </w:p>
    <w:p w14:paraId="43828456" w14:textId="77777777" w:rsidR="00402F98" w:rsidRPr="00295242" w:rsidRDefault="00402F98" w:rsidP="00402F98">
      <w:pPr>
        <w:numPr>
          <w:ilvl w:val="0"/>
          <w:numId w:val="24"/>
        </w:numPr>
        <w:spacing w:after="0" w:line="240" w:lineRule="auto"/>
        <w:jc w:val="left"/>
        <w:rPr>
          <w:rFonts w:ascii="Calibri" w:hAnsi="Calibri" w:cs="Calibri"/>
          <w:sz w:val="22"/>
        </w:rPr>
      </w:pPr>
      <w:r w:rsidRPr="00295242">
        <w:rPr>
          <w:rFonts w:ascii="Calibri" w:hAnsi="Calibri" w:cs="Calibri"/>
          <w:sz w:val="22"/>
        </w:rPr>
        <w:t xml:space="preserve">Effet structurant pour la filière ; </w:t>
      </w:r>
    </w:p>
    <w:p w14:paraId="011BBB0D" w14:textId="77777777" w:rsidR="00402F98" w:rsidRPr="00295242" w:rsidRDefault="00402F98" w:rsidP="00402F98">
      <w:pPr>
        <w:numPr>
          <w:ilvl w:val="0"/>
          <w:numId w:val="24"/>
        </w:numPr>
        <w:spacing w:after="0" w:line="240" w:lineRule="auto"/>
        <w:jc w:val="left"/>
        <w:rPr>
          <w:rFonts w:ascii="Calibri" w:hAnsi="Calibri" w:cs="Calibri"/>
          <w:sz w:val="22"/>
        </w:rPr>
      </w:pPr>
      <w:r w:rsidRPr="00295242">
        <w:rPr>
          <w:rFonts w:ascii="Calibri" w:hAnsi="Calibri" w:cs="Calibri"/>
          <w:sz w:val="22"/>
        </w:rPr>
        <w:t>Efficacité de l’aide publique</w:t>
      </w:r>
    </w:p>
    <w:p w14:paraId="1FE3931A" w14:textId="77777777" w:rsidR="00402F98" w:rsidRPr="00DB5616" w:rsidRDefault="00402F98" w:rsidP="00402F98">
      <w:pPr>
        <w:spacing w:after="0" w:line="240" w:lineRule="auto"/>
        <w:rPr>
          <w:rFonts w:ascii="Calibri" w:hAnsi="Calibri" w:cs="Calibri"/>
          <w:b/>
          <w:bCs/>
          <w:color w:val="002060"/>
          <w:sz w:val="22"/>
        </w:rPr>
      </w:pPr>
    </w:p>
    <w:p w14:paraId="788F1AD1" w14:textId="77777777" w:rsidR="00402F98" w:rsidRPr="00DB5616" w:rsidRDefault="00402F98" w:rsidP="00402F98">
      <w:pPr>
        <w:spacing w:after="0" w:line="240" w:lineRule="auto"/>
        <w:rPr>
          <w:rFonts w:ascii="Calibri" w:hAnsi="Calibri" w:cs="Calibri"/>
          <w:sz w:val="22"/>
        </w:rPr>
      </w:pPr>
      <w:r w:rsidRPr="00DB5616">
        <w:rPr>
          <w:rFonts w:ascii="Calibri" w:hAnsi="Calibri" w:cs="Calibri"/>
          <w:sz w:val="22"/>
        </w:rPr>
        <w:t>Le FEDER cible spécifiquement les infrastructures de production, de stockage et de distribution d’hydrogène renouvelable.</w:t>
      </w:r>
    </w:p>
    <w:p w14:paraId="2504CF7B" w14:textId="77777777" w:rsidR="00402F98" w:rsidRPr="00DB5616" w:rsidRDefault="00402F98" w:rsidP="00402F98">
      <w:pPr>
        <w:spacing w:after="0" w:line="240" w:lineRule="auto"/>
        <w:rPr>
          <w:rFonts w:ascii="Calibri" w:hAnsi="Calibri" w:cs="Calibri"/>
          <w:sz w:val="22"/>
        </w:rPr>
      </w:pPr>
    </w:p>
    <w:p w14:paraId="4498742E" w14:textId="77777777" w:rsidR="00402F98" w:rsidRPr="00DB5616" w:rsidRDefault="00402F98" w:rsidP="00402F98">
      <w:pPr>
        <w:spacing w:after="0" w:line="240" w:lineRule="auto"/>
        <w:rPr>
          <w:rFonts w:ascii="Calibri" w:hAnsi="Calibri" w:cs="Calibri"/>
          <w:sz w:val="22"/>
        </w:rPr>
      </w:pPr>
      <w:r w:rsidRPr="00DB5616">
        <w:rPr>
          <w:rFonts w:ascii="Calibri" w:hAnsi="Calibri" w:cs="Calibri"/>
          <w:b/>
          <w:bCs/>
          <w:color w:val="002060"/>
          <w:sz w:val="22"/>
        </w:rPr>
        <w:t>Les infrastructures de production d’hydrogène</w:t>
      </w:r>
      <w:r w:rsidRPr="00DB5616">
        <w:rPr>
          <w:rFonts w:ascii="Calibri" w:hAnsi="Calibri" w:cs="Calibri"/>
          <w:color w:val="002060"/>
          <w:sz w:val="22"/>
        </w:rPr>
        <w:t xml:space="preserve"> </w:t>
      </w:r>
      <w:r w:rsidRPr="00DB5616">
        <w:rPr>
          <w:rFonts w:ascii="Calibri" w:hAnsi="Calibri" w:cs="Calibri"/>
          <w:sz w:val="22"/>
        </w:rPr>
        <w:t xml:space="preserve">à partir de la biomasse sont éligibles au FEDER ainsi que les installations de méthanation/power to </w:t>
      </w:r>
      <w:proofErr w:type="spellStart"/>
      <w:r w:rsidRPr="00DB5616">
        <w:rPr>
          <w:rFonts w:ascii="Calibri" w:hAnsi="Calibri" w:cs="Calibri"/>
          <w:sz w:val="22"/>
        </w:rPr>
        <w:t>gas</w:t>
      </w:r>
      <w:proofErr w:type="spellEnd"/>
      <w:r w:rsidRPr="00DB5616">
        <w:rPr>
          <w:rFonts w:ascii="Calibri" w:hAnsi="Calibri" w:cs="Calibri"/>
          <w:sz w:val="22"/>
        </w:rPr>
        <w:t xml:space="preserve"> qui produisent du méthane de synthèse à partir d’hydrogène renouvelable.</w:t>
      </w:r>
    </w:p>
    <w:p w14:paraId="27ADE207" w14:textId="77777777" w:rsidR="00402F98" w:rsidRPr="00DB5616" w:rsidRDefault="00402F98" w:rsidP="00402F98">
      <w:pPr>
        <w:spacing w:after="0" w:line="240" w:lineRule="auto"/>
        <w:rPr>
          <w:rFonts w:ascii="Calibri" w:hAnsi="Calibri" w:cs="Calibri"/>
          <w:sz w:val="22"/>
        </w:rPr>
      </w:pPr>
    </w:p>
    <w:p w14:paraId="54C4EDCD" w14:textId="77777777" w:rsidR="00402F98" w:rsidRPr="00DB5616" w:rsidRDefault="00402F98" w:rsidP="00402F98">
      <w:pPr>
        <w:spacing w:after="0" w:line="240" w:lineRule="auto"/>
        <w:rPr>
          <w:rFonts w:ascii="Calibri" w:hAnsi="Calibri" w:cs="Calibri"/>
          <w:sz w:val="22"/>
        </w:rPr>
      </w:pPr>
      <w:r w:rsidRPr="00DB5616">
        <w:rPr>
          <w:rFonts w:ascii="Calibri" w:hAnsi="Calibri" w:cs="Calibri"/>
          <w:b/>
          <w:bCs/>
          <w:color w:val="002060"/>
          <w:sz w:val="22"/>
        </w:rPr>
        <w:t>Les infrastructures de distribution de l’hydrogène pour la mobilité</w:t>
      </w:r>
      <w:r w:rsidRPr="00DB5616">
        <w:rPr>
          <w:rFonts w:ascii="Calibri" w:hAnsi="Calibri" w:cs="Calibri"/>
          <w:color w:val="002060"/>
          <w:sz w:val="22"/>
        </w:rPr>
        <w:t xml:space="preserve"> </w:t>
      </w:r>
      <w:r w:rsidRPr="00DB5616">
        <w:rPr>
          <w:rFonts w:ascii="Calibri" w:hAnsi="Calibri" w:cs="Calibri"/>
          <w:sz w:val="22"/>
        </w:rPr>
        <w:t xml:space="preserve">(stations d’avitaillement) peuvent être accompagnement dans le cadre d’un écosystème hydrogène comprenant les moyens de production de l’hydrogène (électrolyseur). </w:t>
      </w:r>
    </w:p>
    <w:p w14:paraId="21E3A159" w14:textId="77777777" w:rsidR="00402F98" w:rsidRPr="00DB5616" w:rsidRDefault="00402F98" w:rsidP="00402F98">
      <w:pPr>
        <w:spacing w:after="0" w:line="240" w:lineRule="auto"/>
        <w:rPr>
          <w:rFonts w:ascii="Calibri" w:hAnsi="Calibri" w:cs="Calibri"/>
          <w:sz w:val="22"/>
        </w:rPr>
      </w:pPr>
      <w:r w:rsidRPr="00DB5616">
        <w:rPr>
          <w:rFonts w:ascii="Calibri" w:hAnsi="Calibri" w:cs="Calibri"/>
          <w:sz w:val="22"/>
        </w:rPr>
        <w:t xml:space="preserve">Elles devront être implantées stratégiquement sur les territoires communaux identifiés dans le cadre du schéma régional directeur d’avitaillement en énergie verte et décarbonée pour la mobilité alternative. Les infrastructures d’avitaillement à hydrogène peuvent être subventionnées mais dans le cadre d’un écosystème hydrogène comprenant les moyens de production de l’hydrogène (électrolyseur). </w:t>
      </w:r>
    </w:p>
    <w:p w14:paraId="34B19EF0" w14:textId="77777777" w:rsidR="00402F98" w:rsidRPr="00DB5616" w:rsidRDefault="00402F98" w:rsidP="00402F98">
      <w:pPr>
        <w:spacing w:after="0" w:line="240" w:lineRule="auto"/>
        <w:rPr>
          <w:rFonts w:ascii="Calibri" w:hAnsi="Calibri" w:cs="Calibri"/>
          <w:sz w:val="22"/>
        </w:rPr>
      </w:pPr>
      <w:r w:rsidRPr="00DB5616">
        <w:rPr>
          <w:rFonts w:ascii="Calibri" w:hAnsi="Calibri" w:cs="Calibri"/>
          <w:sz w:val="22"/>
        </w:rPr>
        <w:t>Dans le cas contraire, le maître d’ouvrage devra justifier la pertinence d’implanter une station d’avitaillement H2 sur son territoire par la fourniture :</w:t>
      </w:r>
    </w:p>
    <w:p w14:paraId="1D2B1B3B" w14:textId="77777777" w:rsidR="00402F98" w:rsidRPr="00DB5616" w:rsidRDefault="00402F98" w:rsidP="00402F98">
      <w:pPr>
        <w:spacing w:after="0" w:line="240" w:lineRule="auto"/>
        <w:rPr>
          <w:rFonts w:ascii="Calibri" w:hAnsi="Calibri" w:cs="Calibri"/>
          <w:sz w:val="22"/>
        </w:rPr>
      </w:pPr>
      <w:r w:rsidRPr="00DB5616">
        <w:rPr>
          <w:rFonts w:ascii="Calibri" w:hAnsi="Calibri" w:cs="Calibri"/>
          <w:sz w:val="22"/>
        </w:rPr>
        <w:t>•</w:t>
      </w:r>
      <w:r w:rsidRPr="00DB5616">
        <w:rPr>
          <w:rFonts w:ascii="Calibri" w:hAnsi="Calibri" w:cs="Calibri"/>
          <w:sz w:val="22"/>
        </w:rPr>
        <w:tab/>
        <w:t>D’une étude de type schéma directeur d’avitaillement H2 à l’échelle de son territoire qui met en évidence l’intérêt du projet</w:t>
      </w:r>
    </w:p>
    <w:p w14:paraId="19C06933" w14:textId="77777777" w:rsidR="00402F98" w:rsidRPr="00DB5616" w:rsidRDefault="00402F98" w:rsidP="00402F98">
      <w:pPr>
        <w:spacing w:after="0" w:line="240" w:lineRule="auto"/>
        <w:rPr>
          <w:rFonts w:ascii="Calibri" w:hAnsi="Calibri" w:cs="Calibri"/>
          <w:sz w:val="22"/>
        </w:rPr>
      </w:pPr>
      <w:r w:rsidRPr="00DB5616">
        <w:rPr>
          <w:rFonts w:ascii="Calibri" w:hAnsi="Calibri" w:cs="Calibri"/>
          <w:sz w:val="22"/>
        </w:rPr>
        <w:t>•</w:t>
      </w:r>
      <w:r w:rsidRPr="00DB5616">
        <w:rPr>
          <w:rFonts w:ascii="Calibri" w:hAnsi="Calibri" w:cs="Calibri"/>
          <w:sz w:val="22"/>
        </w:rPr>
        <w:tab/>
        <w:t>Des contrats de fourniture, lettres d’intention des clients potentiels pour viendront alimenter leurs véhicules à H2 à la future station d’avitaillement et qui justifient la consommation de 50% de l’H2 livré à la station</w:t>
      </w:r>
    </w:p>
    <w:p w14:paraId="059076F0" w14:textId="77777777" w:rsidR="00402F98" w:rsidRPr="00DB5616" w:rsidRDefault="00402F98" w:rsidP="00402F98">
      <w:pPr>
        <w:spacing w:after="0" w:line="240" w:lineRule="auto"/>
        <w:rPr>
          <w:rFonts w:ascii="Calibri" w:hAnsi="Calibri" w:cs="Calibri"/>
          <w:sz w:val="22"/>
        </w:rPr>
      </w:pPr>
    </w:p>
    <w:p w14:paraId="122F8B83" w14:textId="77777777" w:rsidR="00402F98" w:rsidRPr="00DB5616" w:rsidRDefault="00402F98" w:rsidP="00402F98">
      <w:pPr>
        <w:spacing w:after="0" w:line="240" w:lineRule="auto"/>
        <w:rPr>
          <w:rFonts w:ascii="Calibri" w:hAnsi="Calibri" w:cs="Calibri"/>
          <w:sz w:val="22"/>
        </w:rPr>
      </w:pPr>
      <w:r w:rsidRPr="00DB5616">
        <w:rPr>
          <w:rFonts w:ascii="Calibri" w:hAnsi="Calibri" w:cs="Calibri"/>
          <w:sz w:val="22"/>
        </w:rPr>
        <w:t>Des critères complémentaires seront précisés dans le cadre des appels à projet ADEME.</w:t>
      </w:r>
    </w:p>
    <w:p w14:paraId="4507EE84" w14:textId="77777777" w:rsidR="00402F98" w:rsidRPr="00DB5616" w:rsidRDefault="00402F98" w:rsidP="00402F98">
      <w:pPr>
        <w:spacing w:after="0" w:line="240" w:lineRule="auto"/>
        <w:rPr>
          <w:rFonts w:asciiTheme="minorHAnsi" w:hAnsiTheme="minorHAnsi"/>
          <w:sz w:val="22"/>
        </w:rPr>
      </w:pPr>
    </w:p>
    <w:p w14:paraId="5C561432" w14:textId="77777777" w:rsidR="00402F98" w:rsidRPr="00DB5616" w:rsidRDefault="00402F98" w:rsidP="00402F98">
      <w:pPr>
        <w:shd w:val="clear" w:color="auto" w:fill="FBE4D5" w:themeFill="accent2" w:themeFillTint="33"/>
        <w:spacing w:after="0" w:line="240" w:lineRule="auto"/>
        <w:rPr>
          <w:rFonts w:asciiTheme="minorHAnsi" w:hAnsiTheme="minorHAnsi"/>
          <w:b/>
          <w:bCs/>
          <w:sz w:val="28"/>
          <w:szCs w:val="28"/>
        </w:rPr>
      </w:pPr>
      <w:r w:rsidRPr="00DB5616">
        <w:rPr>
          <w:rFonts w:asciiTheme="minorHAnsi" w:hAnsiTheme="minorHAnsi"/>
          <w:b/>
          <w:bCs/>
          <w:color w:val="FFFFFF" w:themeColor="background1"/>
          <w:sz w:val="28"/>
          <w:szCs w:val="28"/>
          <w:shd w:val="clear" w:color="auto" w:fill="ED7D31" w:themeFill="accent2"/>
        </w:rPr>
        <w:t>QUELLES CONDITIONS ?</w:t>
      </w:r>
      <w:r w:rsidRPr="00DB5616">
        <w:rPr>
          <w:rFonts w:asciiTheme="minorHAnsi" w:hAnsiTheme="minorHAnsi"/>
          <w:b/>
          <w:bCs/>
          <w:sz w:val="28"/>
          <w:szCs w:val="28"/>
          <w:shd w:val="clear" w:color="auto" w:fill="ED7D31" w:themeFill="accent2"/>
        </w:rPr>
        <w:t xml:space="preserve"> </w:t>
      </w:r>
      <w:r w:rsidRPr="00DB5616">
        <w:rPr>
          <w:rFonts w:asciiTheme="minorHAnsi" w:hAnsiTheme="minorHAnsi"/>
          <w:b/>
          <w:bCs/>
          <w:sz w:val="28"/>
          <w:szCs w:val="28"/>
        </w:rPr>
        <w:t xml:space="preserve"> </w:t>
      </w:r>
      <w:r w:rsidRPr="00DB5616">
        <w:rPr>
          <w:rFonts w:asciiTheme="minorHAnsi" w:hAnsiTheme="minorHAnsi"/>
          <w:b/>
          <w:bCs/>
          <w:color w:val="002060"/>
          <w:sz w:val="28"/>
          <w:szCs w:val="28"/>
        </w:rPr>
        <w:t>Modalités de dépôt</w:t>
      </w:r>
    </w:p>
    <w:p w14:paraId="6D519EA0" w14:textId="77777777" w:rsidR="00402F98" w:rsidRPr="00DB5616" w:rsidRDefault="00402F98" w:rsidP="00402F98">
      <w:pPr>
        <w:spacing w:after="0" w:line="240" w:lineRule="auto"/>
        <w:rPr>
          <w:rFonts w:asciiTheme="minorHAnsi" w:hAnsiTheme="minorHAnsi"/>
          <w:sz w:val="22"/>
        </w:rPr>
      </w:pPr>
    </w:p>
    <w:p w14:paraId="6F3F3F82" w14:textId="77777777" w:rsidR="00402F98" w:rsidRPr="00DB5616" w:rsidRDefault="00402F98" w:rsidP="00402F98">
      <w:pPr>
        <w:spacing w:after="0" w:line="240" w:lineRule="auto"/>
        <w:rPr>
          <w:rFonts w:asciiTheme="minorHAnsi" w:hAnsiTheme="minorHAnsi"/>
          <w:sz w:val="22"/>
        </w:rPr>
      </w:pPr>
      <w:r w:rsidRPr="00295242">
        <w:rPr>
          <w:rFonts w:asciiTheme="minorHAnsi" w:hAnsiTheme="minorHAnsi"/>
          <w:sz w:val="22"/>
        </w:rPr>
        <w:t>Appels à projets ADEME ou Guichet (au fil de l’eau)</w:t>
      </w:r>
      <w:r w:rsidRPr="00DB5616">
        <w:rPr>
          <w:rFonts w:asciiTheme="minorHAnsi" w:hAnsiTheme="minorHAnsi"/>
          <w:sz w:val="22"/>
        </w:rPr>
        <w:t xml:space="preserve"> </w:t>
      </w:r>
    </w:p>
    <w:p w14:paraId="687440E8" w14:textId="77777777" w:rsidR="00402F98" w:rsidRPr="00DB5616" w:rsidRDefault="00402F98" w:rsidP="00402F98">
      <w:pPr>
        <w:spacing w:after="0" w:line="240" w:lineRule="auto"/>
        <w:rPr>
          <w:rFonts w:asciiTheme="minorHAnsi" w:hAnsiTheme="minorHAnsi"/>
          <w:sz w:val="22"/>
        </w:rPr>
      </w:pPr>
    </w:p>
    <w:p w14:paraId="4EEAE6A9" w14:textId="77777777" w:rsidR="00402F98" w:rsidRPr="00DB5616" w:rsidRDefault="00402F98" w:rsidP="00402F98">
      <w:pPr>
        <w:shd w:val="clear" w:color="auto" w:fill="FBE4D5" w:themeFill="accent2" w:themeFillTint="33"/>
        <w:spacing w:after="0" w:line="240" w:lineRule="auto"/>
        <w:rPr>
          <w:rFonts w:asciiTheme="minorHAnsi" w:hAnsiTheme="minorHAnsi"/>
          <w:b/>
          <w:bCs/>
          <w:sz w:val="28"/>
          <w:szCs w:val="28"/>
        </w:rPr>
      </w:pPr>
      <w:r w:rsidRPr="00DB5616">
        <w:rPr>
          <w:rFonts w:asciiTheme="minorHAnsi" w:hAnsiTheme="minorHAnsi"/>
          <w:b/>
          <w:bCs/>
          <w:color w:val="FFFFFF" w:themeColor="background1"/>
          <w:sz w:val="28"/>
          <w:szCs w:val="28"/>
          <w:shd w:val="clear" w:color="auto" w:fill="ED7D31" w:themeFill="accent2"/>
        </w:rPr>
        <w:lastRenderedPageBreak/>
        <w:t>QUELLES CONDITIONS ?</w:t>
      </w:r>
      <w:r w:rsidRPr="00DB5616">
        <w:rPr>
          <w:rFonts w:asciiTheme="minorHAnsi" w:hAnsiTheme="minorHAnsi"/>
          <w:b/>
          <w:bCs/>
          <w:sz w:val="28"/>
          <w:szCs w:val="28"/>
          <w:shd w:val="clear" w:color="auto" w:fill="ED7D31" w:themeFill="accent2"/>
        </w:rPr>
        <w:t xml:space="preserve"> </w:t>
      </w:r>
      <w:r w:rsidRPr="00DB5616">
        <w:rPr>
          <w:rFonts w:asciiTheme="minorHAnsi" w:hAnsiTheme="minorHAnsi"/>
          <w:b/>
          <w:bCs/>
          <w:sz w:val="28"/>
          <w:szCs w:val="28"/>
        </w:rPr>
        <w:t xml:space="preserve"> </w:t>
      </w:r>
      <w:r w:rsidRPr="00DB5616">
        <w:rPr>
          <w:rFonts w:asciiTheme="minorHAnsi" w:hAnsiTheme="minorHAnsi"/>
          <w:b/>
          <w:bCs/>
          <w:color w:val="002060"/>
          <w:sz w:val="28"/>
          <w:szCs w:val="28"/>
        </w:rPr>
        <w:t>Conditions favorisantes</w:t>
      </w:r>
    </w:p>
    <w:p w14:paraId="249FCE31" w14:textId="77777777" w:rsidR="00402F98" w:rsidRPr="00DB5616" w:rsidRDefault="00402F98" w:rsidP="00402F98">
      <w:pPr>
        <w:spacing w:after="0" w:line="240" w:lineRule="auto"/>
        <w:rPr>
          <w:rFonts w:asciiTheme="minorHAnsi" w:hAnsiTheme="minorHAnsi"/>
          <w:sz w:val="22"/>
        </w:rPr>
      </w:pPr>
    </w:p>
    <w:p w14:paraId="21B5FDC0" w14:textId="77777777" w:rsidR="00402F98" w:rsidRPr="008F16C8" w:rsidRDefault="00402F98" w:rsidP="00402F98">
      <w:pPr>
        <w:pStyle w:val="Paragraphedeliste"/>
        <w:numPr>
          <w:ilvl w:val="1"/>
          <w:numId w:val="25"/>
        </w:numPr>
        <w:spacing w:after="0" w:line="240" w:lineRule="auto"/>
        <w:rPr>
          <w:rFonts w:asciiTheme="minorHAnsi" w:hAnsiTheme="minorHAnsi"/>
          <w:sz w:val="22"/>
        </w:rPr>
      </w:pPr>
      <w:r w:rsidRPr="008F16C8">
        <w:rPr>
          <w:rFonts w:asciiTheme="minorHAnsi" w:hAnsiTheme="minorHAnsi"/>
          <w:sz w:val="22"/>
        </w:rPr>
        <w:t>Gouvernance du secteur de l’énergie</w:t>
      </w:r>
    </w:p>
    <w:p w14:paraId="5DD48152" w14:textId="77777777" w:rsidR="00402F98" w:rsidRPr="004F52B0" w:rsidRDefault="00402F98" w:rsidP="00402F98">
      <w:pPr>
        <w:pStyle w:val="Paragraphedeliste"/>
        <w:spacing w:after="0" w:line="240" w:lineRule="auto"/>
        <w:rPr>
          <w:rFonts w:asciiTheme="minorHAnsi" w:hAnsiTheme="minorHAnsi"/>
          <w:sz w:val="22"/>
        </w:rPr>
      </w:pPr>
    </w:p>
    <w:p w14:paraId="3C720713" w14:textId="77777777" w:rsidR="00402F98" w:rsidRPr="00DB5616" w:rsidRDefault="00402F98" w:rsidP="00402F98">
      <w:pPr>
        <w:shd w:val="clear" w:color="auto" w:fill="FBE4D5" w:themeFill="accent2" w:themeFillTint="33"/>
        <w:spacing w:after="0" w:line="240" w:lineRule="auto"/>
        <w:rPr>
          <w:rFonts w:asciiTheme="minorHAnsi" w:hAnsiTheme="minorHAnsi"/>
          <w:b/>
          <w:bCs/>
          <w:sz w:val="28"/>
          <w:szCs w:val="28"/>
        </w:rPr>
      </w:pPr>
      <w:r w:rsidRPr="00DB5616">
        <w:rPr>
          <w:rFonts w:asciiTheme="minorHAnsi" w:hAnsiTheme="minorHAnsi"/>
          <w:b/>
          <w:bCs/>
          <w:color w:val="FFFFFF" w:themeColor="background1"/>
          <w:sz w:val="28"/>
          <w:szCs w:val="28"/>
          <w:shd w:val="clear" w:color="auto" w:fill="ED7D31" w:themeFill="accent2"/>
        </w:rPr>
        <w:t>QUELLES CONDITIONS ?</w:t>
      </w:r>
      <w:r w:rsidRPr="00DB5616">
        <w:rPr>
          <w:rFonts w:asciiTheme="minorHAnsi" w:hAnsiTheme="minorHAnsi"/>
          <w:b/>
          <w:bCs/>
          <w:sz w:val="28"/>
          <w:szCs w:val="28"/>
          <w:shd w:val="clear" w:color="auto" w:fill="ED7D31" w:themeFill="accent2"/>
        </w:rPr>
        <w:t xml:space="preserve"> </w:t>
      </w:r>
      <w:r w:rsidRPr="00DB5616">
        <w:rPr>
          <w:rFonts w:asciiTheme="minorHAnsi" w:hAnsiTheme="minorHAnsi"/>
          <w:b/>
          <w:bCs/>
          <w:sz w:val="28"/>
          <w:szCs w:val="28"/>
        </w:rPr>
        <w:t xml:space="preserve"> </w:t>
      </w:r>
      <w:r w:rsidRPr="00DB5616">
        <w:rPr>
          <w:rFonts w:asciiTheme="minorHAnsi" w:hAnsiTheme="minorHAnsi"/>
          <w:b/>
          <w:bCs/>
          <w:color w:val="002060"/>
          <w:sz w:val="28"/>
          <w:szCs w:val="28"/>
        </w:rPr>
        <w:t>Principes horizontaux</w:t>
      </w:r>
    </w:p>
    <w:p w14:paraId="7D862709" w14:textId="77777777" w:rsidR="00402F98" w:rsidRPr="00DB5616" w:rsidRDefault="00402F98" w:rsidP="00402F98">
      <w:pPr>
        <w:spacing w:after="0" w:line="240" w:lineRule="auto"/>
        <w:rPr>
          <w:rFonts w:asciiTheme="minorHAnsi" w:hAnsiTheme="minorHAnsi"/>
          <w:sz w:val="22"/>
        </w:rPr>
      </w:pPr>
    </w:p>
    <w:p w14:paraId="1E947AE2" w14:textId="77777777" w:rsidR="00402F98" w:rsidRPr="009325D3" w:rsidRDefault="00402F98" w:rsidP="00402F98">
      <w:pPr>
        <w:pStyle w:val="Sansinterligne"/>
        <w:jc w:val="both"/>
        <w:rPr>
          <w:rFonts w:ascii="Calibri" w:hAnsi="Calibri" w:cs="Calibri"/>
        </w:rPr>
      </w:pPr>
      <w:r w:rsidRPr="009325D3">
        <w:rPr>
          <w:rFonts w:ascii="Calibri" w:eastAsia="Times New Roman" w:hAnsi="Calibri" w:cs="Calibri"/>
          <w:lang w:eastAsia="fr-FR"/>
        </w:rPr>
        <w:t>Les opérations financées doivent être en cohérence avec les principes horizontaux suivants : égalité des chances, non-discrimination, égalité entre les hommes et les femmes, développement durable</w:t>
      </w:r>
      <w:r>
        <w:rPr>
          <w:rFonts w:ascii="Calibri" w:eastAsia="Times New Roman" w:hAnsi="Calibri" w:cs="Calibri"/>
          <w:lang w:eastAsia="fr-FR"/>
        </w:rPr>
        <w:t>, accessibilité aux personnes en situation de handicap et Charte des droits fondamentaux de l’UE</w:t>
      </w:r>
      <w:r w:rsidRPr="009325D3">
        <w:rPr>
          <w:rFonts w:ascii="Calibri" w:eastAsia="Times New Roman" w:hAnsi="Calibri" w:cs="Calibri"/>
          <w:lang w:eastAsia="fr-FR"/>
        </w:rPr>
        <w:t>.</w:t>
      </w:r>
    </w:p>
    <w:p w14:paraId="413AF842" w14:textId="77777777" w:rsidR="00402F98" w:rsidRPr="00DB5616" w:rsidRDefault="00402F98" w:rsidP="00402F98">
      <w:pPr>
        <w:spacing w:after="0" w:line="240" w:lineRule="auto"/>
        <w:rPr>
          <w:rFonts w:asciiTheme="minorHAnsi" w:hAnsiTheme="minorHAnsi"/>
          <w:sz w:val="22"/>
        </w:rPr>
      </w:pPr>
    </w:p>
    <w:p w14:paraId="0E52D2BF" w14:textId="77777777" w:rsidR="00402F98" w:rsidRPr="00DB5616" w:rsidRDefault="00402F98" w:rsidP="00402F98">
      <w:pPr>
        <w:shd w:val="clear" w:color="auto" w:fill="FBE4D5" w:themeFill="accent2" w:themeFillTint="33"/>
        <w:spacing w:after="0" w:line="240" w:lineRule="auto"/>
        <w:rPr>
          <w:rFonts w:asciiTheme="minorHAnsi" w:hAnsiTheme="minorHAnsi"/>
          <w:b/>
          <w:bCs/>
          <w:sz w:val="28"/>
          <w:szCs w:val="28"/>
        </w:rPr>
      </w:pPr>
      <w:r w:rsidRPr="00DB5616">
        <w:rPr>
          <w:rFonts w:asciiTheme="minorHAnsi" w:hAnsiTheme="minorHAnsi"/>
          <w:b/>
          <w:bCs/>
          <w:color w:val="FFFFFF" w:themeColor="background1"/>
          <w:sz w:val="28"/>
          <w:szCs w:val="28"/>
          <w:shd w:val="clear" w:color="auto" w:fill="ED7D31" w:themeFill="accent2"/>
        </w:rPr>
        <w:t>QUELLES CONDITIONS ?</w:t>
      </w:r>
      <w:r w:rsidRPr="00DB5616">
        <w:rPr>
          <w:rFonts w:asciiTheme="minorHAnsi" w:hAnsiTheme="minorHAnsi"/>
          <w:b/>
          <w:bCs/>
          <w:sz w:val="28"/>
          <w:szCs w:val="28"/>
          <w:shd w:val="clear" w:color="auto" w:fill="ED7D31" w:themeFill="accent2"/>
        </w:rPr>
        <w:t xml:space="preserve"> </w:t>
      </w:r>
      <w:r w:rsidRPr="00DB5616">
        <w:rPr>
          <w:rFonts w:asciiTheme="minorHAnsi" w:hAnsiTheme="minorHAnsi"/>
          <w:b/>
          <w:bCs/>
          <w:sz w:val="28"/>
          <w:szCs w:val="28"/>
        </w:rPr>
        <w:t xml:space="preserve"> </w:t>
      </w:r>
      <w:r w:rsidRPr="00DB5616">
        <w:rPr>
          <w:rFonts w:asciiTheme="minorHAnsi" w:hAnsiTheme="minorHAnsi"/>
          <w:b/>
          <w:bCs/>
          <w:color w:val="002060"/>
          <w:sz w:val="28"/>
          <w:szCs w:val="28"/>
        </w:rPr>
        <w:t>Respect des règles européennes</w:t>
      </w:r>
    </w:p>
    <w:p w14:paraId="1A6BA9E7" w14:textId="77777777" w:rsidR="00402F98" w:rsidRPr="00DB5616" w:rsidRDefault="00402F98" w:rsidP="00402F98">
      <w:pPr>
        <w:spacing w:after="0" w:line="240" w:lineRule="auto"/>
        <w:rPr>
          <w:rFonts w:asciiTheme="minorHAnsi" w:hAnsiTheme="minorHAnsi"/>
          <w:sz w:val="22"/>
        </w:rPr>
      </w:pPr>
    </w:p>
    <w:p w14:paraId="2F61C575" w14:textId="77777777" w:rsidR="00402F98" w:rsidRPr="00DB5616" w:rsidRDefault="00402F98" w:rsidP="00402F98">
      <w:pPr>
        <w:spacing w:after="0" w:line="240" w:lineRule="auto"/>
        <w:rPr>
          <w:rFonts w:asciiTheme="minorHAnsi" w:hAnsiTheme="minorHAnsi"/>
          <w:b/>
          <w:bCs/>
          <w:color w:val="002060"/>
          <w:sz w:val="22"/>
        </w:rPr>
      </w:pPr>
      <w:r w:rsidRPr="00DB5616">
        <w:rPr>
          <w:rFonts w:asciiTheme="minorHAnsi" w:hAnsiTheme="minorHAnsi"/>
          <w:b/>
          <w:bCs/>
          <w:color w:val="002060"/>
          <w:sz w:val="22"/>
        </w:rPr>
        <w:t xml:space="preserve">Régimes d’aides d’état notamment mobilisables :  </w:t>
      </w:r>
    </w:p>
    <w:p w14:paraId="54E0D85E" w14:textId="77777777" w:rsidR="00402F98" w:rsidRPr="00DB5616" w:rsidRDefault="00402F98" w:rsidP="00402F98">
      <w:pPr>
        <w:numPr>
          <w:ilvl w:val="0"/>
          <w:numId w:val="1"/>
        </w:numPr>
        <w:spacing w:after="0" w:line="240" w:lineRule="auto"/>
        <w:rPr>
          <w:rFonts w:asciiTheme="minorHAnsi" w:hAnsiTheme="minorHAnsi"/>
          <w:sz w:val="22"/>
        </w:rPr>
      </w:pPr>
      <w:r w:rsidRPr="00DB5616">
        <w:rPr>
          <w:rFonts w:asciiTheme="minorHAnsi" w:hAnsiTheme="minorHAnsi"/>
          <w:sz w:val="22"/>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50D97732" w14:textId="77777777" w:rsidR="00402F98" w:rsidRPr="00DB5616" w:rsidRDefault="00402F98" w:rsidP="00402F98">
      <w:pPr>
        <w:numPr>
          <w:ilvl w:val="0"/>
          <w:numId w:val="1"/>
        </w:numPr>
        <w:spacing w:after="0" w:line="240" w:lineRule="auto"/>
        <w:rPr>
          <w:rFonts w:asciiTheme="minorHAnsi" w:hAnsiTheme="minorHAnsi"/>
          <w:sz w:val="22"/>
        </w:rPr>
      </w:pPr>
      <w:r w:rsidRPr="00DB5616">
        <w:rPr>
          <w:rFonts w:asciiTheme="minorHAnsi" w:hAnsiTheme="minorHAnsi"/>
          <w:sz w:val="22"/>
        </w:rPr>
        <w:t xml:space="preserve">Règlement (UE) n° 1407/2013 de la commission du 18 décembre 2013 relatif à l’application des articles 107 et 108 du traité sur le fonctionnement de l’Union européenne aux aides de minimis ; </w:t>
      </w:r>
    </w:p>
    <w:p w14:paraId="41BEAC54" w14:textId="77777777" w:rsidR="00402F98" w:rsidRPr="00DB5616" w:rsidRDefault="00402F98" w:rsidP="00402F98">
      <w:pPr>
        <w:numPr>
          <w:ilvl w:val="0"/>
          <w:numId w:val="1"/>
        </w:numPr>
        <w:spacing w:after="0" w:line="240" w:lineRule="auto"/>
        <w:rPr>
          <w:rFonts w:asciiTheme="minorHAnsi" w:hAnsiTheme="minorHAnsi"/>
          <w:sz w:val="22"/>
        </w:rPr>
      </w:pPr>
      <w:r w:rsidRPr="00DB5616">
        <w:rPr>
          <w:rFonts w:asciiTheme="minorHAnsi" w:hAnsiTheme="minorHAnsi"/>
          <w:sz w:val="22"/>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4AE5F353" w14:textId="77777777" w:rsidR="00402F98" w:rsidRPr="00DB5616" w:rsidRDefault="00402F98" w:rsidP="00402F98">
      <w:pPr>
        <w:numPr>
          <w:ilvl w:val="0"/>
          <w:numId w:val="1"/>
        </w:numPr>
        <w:spacing w:after="0" w:line="240" w:lineRule="auto"/>
        <w:rPr>
          <w:rFonts w:asciiTheme="minorHAnsi" w:hAnsiTheme="minorHAnsi"/>
          <w:sz w:val="22"/>
        </w:rPr>
      </w:pPr>
      <w:r w:rsidRPr="00DB5616">
        <w:rPr>
          <w:rFonts w:asciiTheme="minorHAnsi" w:hAnsiTheme="minorHAnsi"/>
          <w:sz w:val="22"/>
        </w:rPr>
        <w:t>Communication de la Commission relative à la notion d</w:t>
      </w:r>
      <w:proofErr w:type="gramStart"/>
      <w:r w:rsidRPr="00DB5616">
        <w:rPr>
          <w:rFonts w:asciiTheme="minorHAnsi" w:hAnsiTheme="minorHAnsi"/>
          <w:sz w:val="22"/>
        </w:rPr>
        <w:t>’«</w:t>
      </w:r>
      <w:proofErr w:type="gramEnd"/>
      <w:r w:rsidRPr="00DB5616">
        <w:rPr>
          <w:rFonts w:asciiTheme="minorHAnsi" w:hAnsiTheme="minorHAnsi"/>
          <w:sz w:val="22"/>
        </w:rPr>
        <w:t xml:space="preserve"> aide d'État» visée à l'article 107, paragraphe 1, du traité sur le fonctionnement de l'Union européenne, C/2016/2946, OJ C 262, 19.7.2016, p. 1–50 .</w:t>
      </w:r>
    </w:p>
    <w:p w14:paraId="72B484B3" w14:textId="77777777" w:rsidR="00402F98" w:rsidRPr="00DB5616" w:rsidRDefault="00402F98" w:rsidP="00402F98">
      <w:pPr>
        <w:spacing w:after="0" w:line="240" w:lineRule="auto"/>
        <w:rPr>
          <w:rFonts w:asciiTheme="minorHAnsi" w:hAnsiTheme="minorHAnsi"/>
          <w:sz w:val="22"/>
        </w:rPr>
      </w:pPr>
      <w:r w:rsidRPr="00DB5616">
        <w:rPr>
          <w:rFonts w:asciiTheme="minorHAnsi" w:hAnsiTheme="minorHAnsi"/>
          <w:sz w:val="22"/>
        </w:rPr>
        <w:t xml:space="preserve">  </w:t>
      </w:r>
    </w:p>
    <w:p w14:paraId="1253C728" w14:textId="77777777" w:rsidR="00402F98" w:rsidRPr="00DB5616" w:rsidRDefault="00402F98" w:rsidP="00402F98">
      <w:pPr>
        <w:spacing w:after="0" w:line="240" w:lineRule="auto"/>
        <w:rPr>
          <w:rFonts w:asciiTheme="minorHAnsi" w:hAnsiTheme="minorHAnsi"/>
          <w:b/>
          <w:bCs/>
          <w:color w:val="002060"/>
          <w:sz w:val="22"/>
        </w:rPr>
      </w:pPr>
      <w:r w:rsidRPr="00DB5616">
        <w:rPr>
          <w:rFonts w:asciiTheme="minorHAnsi" w:hAnsiTheme="minorHAnsi"/>
          <w:b/>
          <w:bCs/>
          <w:color w:val="002060"/>
          <w:sz w:val="22"/>
        </w:rPr>
        <w:t xml:space="preserve">Eligibilité des dépenses : </w:t>
      </w:r>
    </w:p>
    <w:p w14:paraId="330C1463" w14:textId="77777777" w:rsidR="00402F98" w:rsidRPr="00DB5616" w:rsidRDefault="00402F98" w:rsidP="00402F98">
      <w:pPr>
        <w:numPr>
          <w:ilvl w:val="0"/>
          <w:numId w:val="1"/>
        </w:numPr>
        <w:spacing w:after="0" w:line="240" w:lineRule="auto"/>
        <w:rPr>
          <w:rFonts w:asciiTheme="minorHAnsi" w:hAnsiTheme="minorHAnsi"/>
          <w:sz w:val="22"/>
        </w:rPr>
      </w:pPr>
      <w:r w:rsidRPr="00DB5616">
        <w:rPr>
          <w:rFonts w:asciiTheme="minorHAnsi" w:hAnsiTheme="minorHAnsi"/>
          <w:sz w:val="22"/>
        </w:rPr>
        <w:t>Règlement (UE, Euratom) n°2018/1046 relatif aux règles financières applicables au budget général de l’Union, dit Omnibus ;</w:t>
      </w:r>
    </w:p>
    <w:p w14:paraId="7176DF0C" w14:textId="77777777" w:rsidR="00402F98" w:rsidRPr="00DB5616" w:rsidRDefault="00402F98" w:rsidP="00402F98">
      <w:pPr>
        <w:numPr>
          <w:ilvl w:val="0"/>
          <w:numId w:val="1"/>
        </w:numPr>
        <w:spacing w:after="0" w:line="240" w:lineRule="auto"/>
        <w:rPr>
          <w:rFonts w:asciiTheme="minorHAnsi" w:hAnsiTheme="minorHAnsi"/>
          <w:sz w:val="22"/>
        </w:rPr>
      </w:pPr>
      <w:r w:rsidRPr="00DB5616">
        <w:rPr>
          <w:rFonts w:asciiTheme="minorHAnsi" w:hAnsiTheme="minorHAnsi"/>
          <w:sz w:val="22"/>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7857BB54" w14:textId="77777777" w:rsidR="00402F98" w:rsidRPr="00DB5616" w:rsidRDefault="00402F98" w:rsidP="00402F98">
      <w:pPr>
        <w:spacing w:after="0" w:line="240" w:lineRule="auto"/>
        <w:rPr>
          <w:rFonts w:asciiTheme="minorHAnsi" w:hAnsiTheme="minorHAnsi"/>
          <w:sz w:val="22"/>
        </w:rPr>
      </w:pPr>
      <w:r w:rsidRPr="00DB5616">
        <w:rPr>
          <w:rFonts w:asciiTheme="minorHAnsi" w:hAnsiTheme="minorHAnsi"/>
          <w:sz w:val="22"/>
        </w:rPr>
        <w:t xml:space="preserve">  </w:t>
      </w:r>
    </w:p>
    <w:p w14:paraId="58BA7BFA" w14:textId="77777777" w:rsidR="00402F98" w:rsidRPr="00DB5616" w:rsidRDefault="00402F98" w:rsidP="00402F98">
      <w:pPr>
        <w:spacing w:after="0" w:line="240" w:lineRule="auto"/>
        <w:rPr>
          <w:rFonts w:asciiTheme="minorHAnsi" w:hAnsiTheme="minorHAnsi"/>
          <w:b/>
          <w:bCs/>
          <w:color w:val="002060"/>
          <w:sz w:val="22"/>
        </w:rPr>
      </w:pPr>
      <w:r w:rsidRPr="00DB5616">
        <w:rPr>
          <w:rFonts w:asciiTheme="minorHAnsi" w:hAnsiTheme="minorHAnsi"/>
          <w:b/>
          <w:bCs/>
          <w:color w:val="002060"/>
          <w:sz w:val="22"/>
        </w:rPr>
        <w:t xml:space="preserve">Commande publique : </w:t>
      </w:r>
    </w:p>
    <w:p w14:paraId="05330668" w14:textId="77777777" w:rsidR="00402F98" w:rsidRPr="00DB5616" w:rsidRDefault="00402F98" w:rsidP="00402F98">
      <w:pPr>
        <w:numPr>
          <w:ilvl w:val="0"/>
          <w:numId w:val="1"/>
        </w:numPr>
        <w:spacing w:after="0" w:line="240" w:lineRule="auto"/>
        <w:rPr>
          <w:rFonts w:asciiTheme="minorHAnsi" w:hAnsiTheme="minorHAnsi"/>
          <w:sz w:val="22"/>
        </w:rPr>
      </w:pPr>
      <w:r w:rsidRPr="00DB5616">
        <w:rPr>
          <w:rFonts w:asciiTheme="minorHAnsi" w:hAnsiTheme="minorHAnsi"/>
          <w:sz w:val="22"/>
        </w:rPr>
        <w:t xml:space="preserve">Code de la Commande Publique ; </w:t>
      </w:r>
    </w:p>
    <w:p w14:paraId="11897C6E" w14:textId="77777777" w:rsidR="00402F98" w:rsidRPr="00DB5616" w:rsidRDefault="00402F98" w:rsidP="00402F98">
      <w:pPr>
        <w:numPr>
          <w:ilvl w:val="0"/>
          <w:numId w:val="1"/>
        </w:numPr>
        <w:spacing w:after="0" w:line="240" w:lineRule="auto"/>
        <w:rPr>
          <w:rFonts w:asciiTheme="minorHAnsi" w:hAnsiTheme="minorHAnsi"/>
          <w:sz w:val="22"/>
        </w:rPr>
      </w:pPr>
      <w:r w:rsidRPr="00DB5616">
        <w:rPr>
          <w:rFonts w:asciiTheme="minorHAnsi" w:hAnsiTheme="minorHAnsi"/>
          <w:sz w:val="22"/>
        </w:rPr>
        <w:t xml:space="preserve">Ordonnance n°2018-1074 du 26 novembre 2018 relative aux marchés publics ;  </w:t>
      </w:r>
    </w:p>
    <w:p w14:paraId="627747B9" w14:textId="77777777" w:rsidR="00402F98" w:rsidRPr="00DB5616" w:rsidRDefault="00402F98" w:rsidP="00402F98">
      <w:pPr>
        <w:numPr>
          <w:ilvl w:val="0"/>
          <w:numId w:val="1"/>
        </w:numPr>
        <w:spacing w:after="0" w:line="240" w:lineRule="auto"/>
        <w:rPr>
          <w:rFonts w:asciiTheme="minorHAnsi" w:hAnsiTheme="minorHAnsi"/>
          <w:sz w:val="22"/>
        </w:rPr>
      </w:pPr>
      <w:r w:rsidRPr="00DB5616">
        <w:rPr>
          <w:rFonts w:asciiTheme="minorHAnsi" w:hAnsiTheme="minorHAnsi"/>
          <w:sz w:val="22"/>
        </w:rPr>
        <w:t>Décret n°2018-1075 du 3 décembre 2018 relatif aux marchés publics.</w:t>
      </w:r>
    </w:p>
    <w:p w14:paraId="15077427" w14:textId="77777777" w:rsidR="00402F98" w:rsidRPr="00DB5616" w:rsidRDefault="00402F98" w:rsidP="00402F98">
      <w:pPr>
        <w:spacing w:after="0" w:line="240" w:lineRule="auto"/>
        <w:rPr>
          <w:rFonts w:asciiTheme="minorHAnsi" w:hAnsiTheme="minorHAnsi"/>
          <w:sz w:val="22"/>
        </w:rPr>
      </w:pPr>
    </w:p>
    <w:p w14:paraId="59FFBDE1" w14:textId="77777777" w:rsidR="00402F98" w:rsidRPr="00DB5616" w:rsidRDefault="00402F98" w:rsidP="00402F98">
      <w:pPr>
        <w:shd w:val="clear" w:color="auto" w:fill="E2EFD9" w:themeFill="accent6" w:themeFillTint="33"/>
        <w:spacing w:after="0" w:line="240" w:lineRule="auto"/>
        <w:rPr>
          <w:rFonts w:asciiTheme="minorHAnsi" w:hAnsiTheme="minorHAnsi"/>
          <w:b/>
          <w:bCs/>
          <w:sz w:val="28"/>
          <w:szCs w:val="28"/>
        </w:rPr>
      </w:pPr>
      <w:r w:rsidRPr="00DB5616">
        <w:rPr>
          <w:rFonts w:asciiTheme="minorHAnsi" w:hAnsiTheme="minorHAnsi"/>
          <w:b/>
          <w:bCs/>
          <w:color w:val="FFFFFF" w:themeColor="background1"/>
          <w:sz w:val="28"/>
          <w:szCs w:val="28"/>
          <w:shd w:val="clear" w:color="auto" w:fill="70AD47" w:themeFill="accent6"/>
        </w:rPr>
        <w:t>MODALITÉS DE FINANCEMENT ?</w:t>
      </w:r>
      <w:r w:rsidRPr="00DB5616">
        <w:rPr>
          <w:rFonts w:asciiTheme="minorHAnsi" w:hAnsiTheme="minorHAnsi"/>
          <w:b/>
          <w:bCs/>
          <w:sz w:val="28"/>
          <w:szCs w:val="28"/>
          <w:shd w:val="clear" w:color="auto" w:fill="70AD47" w:themeFill="accent6"/>
        </w:rPr>
        <w:t xml:space="preserve"> </w:t>
      </w:r>
      <w:r w:rsidRPr="00DB5616">
        <w:rPr>
          <w:rFonts w:asciiTheme="minorHAnsi" w:hAnsiTheme="minorHAnsi"/>
          <w:b/>
          <w:bCs/>
          <w:sz w:val="28"/>
          <w:szCs w:val="28"/>
        </w:rPr>
        <w:t xml:space="preserve"> </w:t>
      </w:r>
      <w:r w:rsidRPr="00DB5616">
        <w:rPr>
          <w:rFonts w:asciiTheme="minorHAnsi" w:hAnsiTheme="minorHAnsi"/>
          <w:b/>
          <w:bCs/>
          <w:color w:val="002060"/>
          <w:sz w:val="28"/>
          <w:szCs w:val="28"/>
        </w:rPr>
        <w:t>Dépenses éligibles</w:t>
      </w:r>
    </w:p>
    <w:p w14:paraId="4324460B" w14:textId="77777777" w:rsidR="00402F98" w:rsidRPr="00DB5616" w:rsidRDefault="00402F98" w:rsidP="00402F98">
      <w:pPr>
        <w:spacing w:after="0" w:line="240" w:lineRule="auto"/>
        <w:rPr>
          <w:rFonts w:asciiTheme="minorHAnsi" w:hAnsiTheme="minorHAnsi"/>
          <w:sz w:val="22"/>
        </w:rPr>
      </w:pPr>
    </w:p>
    <w:p w14:paraId="619FDDA6" w14:textId="77777777" w:rsidR="00402F98" w:rsidRPr="00DB5616" w:rsidRDefault="00402F98" w:rsidP="00402F98">
      <w:pPr>
        <w:numPr>
          <w:ilvl w:val="0"/>
          <w:numId w:val="2"/>
        </w:numPr>
        <w:spacing w:after="0" w:line="240" w:lineRule="auto"/>
        <w:jc w:val="left"/>
        <w:rPr>
          <w:rFonts w:asciiTheme="minorHAnsi" w:hAnsiTheme="minorHAnsi"/>
          <w:sz w:val="22"/>
        </w:rPr>
      </w:pPr>
      <w:r w:rsidRPr="00DB5616">
        <w:rPr>
          <w:rFonts w:asciiTheme="minorHAnsi" w:hAnsiTheme="minorHAnsi"/>
          <w:sz w:val="22"/>
        </w:rPr>
        <w:t>Dépenses d’investissement, d’équipement,</w:t>
      </w:r>
    </w:p>
    <w:p w14:paraId="4D071859" w14:textId="77777777" w:rsidR="00402F98" w:rsidRPr="00DB5616" w:rsidRDefault="00402F98" w:rsidP="00402F98">
      <w:pPr>
        <w:numPr>
          <w:ilvl w:val="0"/>
          <w:numId w:val="2"/>
        </w:numPr>
        <w:spacing w:after="0" w:line="240" w:lineRule="auto"/>
        <w:jc w:val="left"/>
        <w:rPr>
          <w:rFonts w:asciiTheme="minorHAnsi" w:hAnsiTheme="minorHAnsi"/>
          <w:sz w:val="22"/>
        </w:rPr>
      </w:pPr>
      <w:r w:rsidRPr="00DB5616">
        <w:rPr>
          <w:rFonts w:asciiTheme="minorHAnsi" w:hAnsiTheme="minorHAnsi"/>
          <w:sz w:val="22"/>
        </w:rPr>
        <w:t>Dépenses de personnel dédiés à l’opération,</w:t>
      </w:r>
    </w:p>
    <w:p w14:paraId="243DEF84" w14:textId="77777777" w:rsidR="00402F98" w:rsidRPr="00DB5616" w:rsidRDefault="00402F98" w:rsidP="00402F98">
      <w:pPr>
        <w:numPr>
          <w:ilvl w:val="0"/>
          <w:numId w:val="2"/>
        </w:numPr>
        <w:spacing w:after="0" w:line="240" w:lineRule="auto"/>
        <w:jc w:val="left"/>
        <w:rPr>
          <w:rFonts w:asciiTheme="minorHAnsi" w:hAnsiTheme="minorHAnsi"/>
          <w:sz w:val="22"/>
        </w:rPr>
      </w:pPr>
      <w:r w:rsidRPr="00DB5616">
        <w:rPr>
          <w:rFonts w:asciiTheme="minorHAnsi" w:hAnsiTheme="minorHAnsi"/>
          <w:sz w:val="22"/>
        </w:rPr>
        <w:t>Dépenses de prestations externes,</w:t>
      </w:r>
    </w:p>
    <w:p w14:paraId="771A64FB" w14:textId="77777777" w:rsidR="00402F98" w:rsidRPr="00DB5616" w:rsidRDefault="00402F98" w:rsidP="00402F98">
      <w:pPr>
        <w:numPr>
          <w:ilvl w:val="0"/>
          <w:numId w:val="2"/>
        </w:numPr>
        <w:spacing w:after="0" w:line="240" w:lineRule="auto"/>
        <w:jc w:val="left"/>
        <w:rPr>
          <w:rFonts w:asciiTheme="minorHAnsi" w:hAnsiTheme="minorHAnsi"/>
          <w:sz w:val="22"/>
        </w:rPr>
      </w:pPr>
      <w:r w:rsidRPr="00DB5616">
        <w:rPr>
          <w:rFonts w:asciiTheme="minorHAnsi" w:hAnsiTheme="minorHAnsi"/>
          <w:sz w:val="22"/>
        </w:rPr>
        <w:t>Coûts indirects (non pris en compte en dépenses directes) mise en œuvre via des options de coûts simplifiés,</w:t>
      </w:r>
    </w:p>
    <w:p w14:paraId="4AA0DCB5" w14:textId="77777777" w:rsidR="00402F98" w:rsidRPr="00DB5616" w:rsidRDefault="00402F98" w:rsidP="00402F98">
      <w:pPr>
        <w:numPr>
          <w:ilvl w:val="0"/>
          <w:numId w:val="2"/>
        </w:numPr>
        <w:spacing w:after="0" w:line="240" w:lineRule="auto"/>
        <w:jc w:val="left"/>
        <w:rPr>
          <w:rFonts w:asciiTheme="minorHAnsi" w:hAnsiTheme="minorHAnsi"/>
          <w:sz w:val="22"/>
        </w:rPr>
      </w:pPr>
      <w:r w:rsidRPr="00DB5616">
        <w:rPr>
          <w:rFonts w:asciiTheme="minorHAnsi" w:hAnsiTheme="minorHAnsi"/>
          <w:sz w:val="22"/>
        </w:rPr>
        <w:t>Dépenses de communication de l’opération.</w:t>
      </w:r>
    </w:p>
    <w:p w14:paraId="183FD869" w14:textId="77777777" w:rsidR="00402F98" w:rsidRPr="00DB5616" w:rsidRDefault="00402F98" w:rsidP="00402F98">
      <w:pPr>
        <w:widowControl w:val="0"/>
        <w:tabs>
          <w:tab w:val="left" w:pos="426"/>
        </w:tabs>
        <w:autoSpaceDE w:val="0"/>
        <w:autoSpaceDN w:val="0"/>
        <w:spacing w:before="172" w:after="0" w:line="240" w:lineRule="auto"/>
        <w:jc w:val="left"/>
        <w:rPr>
          <w:rFonts w:asciiTheme="minorHAnsi" w:hAnsiTheme="minorHAnsi"/>
          <w:b/>
          <w:bCs/>
          <w:color w:val="002060"/>
          <w:sz w:val="22"/>
        </w:rPr>
      </w:pPr>
      <w:r w:rsidRPr="00DB5616">
        <w:rPr>
          <w:rFonts w:asciiTheme="minorHAnsi" w:hAnsiTheme="minorHAnsi"/>
          <w:b/>
          <w:bCs/>
          <w:color w:val="002060"/>
          <w:sz w:val="22"/>
        </w:rPr>
        <w:t>Dépenses non éligibles :</w:t>
      </w:r>
    </w:p>
    <w:p w14:paraId="645DE0A6" w14:textId="77777777" w:rsidR="00402F98" w:rsidRPr="00DB5616" w:rsidRDefault="00402F98" w:rsidP="00402F98">
      <w:pPr>
        <w:numPr>
          <w:ilvl w:val="0"/>
          <w:numId w:val="2"/>
        </w:numPr>
        <w:spacing w:after="0" w:line="240" w:lineRule="auto"/>
        <w:jc w:val="left"/>
        <w:rPr>
          <w:rFonts w:asciiTheme="minorHAnsi" w:hAnsiTheme="minorHAnsi"/>
          <w:sz w:val="22"/>
        </w:rPr>
      </w:pPr>
      <w:r w:rsidRPr="00DB5616">
        <w:rPr>
          <w:rFonts w:asciiTheme="minorHAnsi" w:hAnsiTheme="minorHAnsi"/>
          <w:sz w:val="22"/>
        </w:rPr>
        <w:t>Dépenses d’investissement relatives aux ENR (parc éolien, photovoltaïque, hydraulique, méthanisation)</w:t>
      </w:r>
    </w:p>
    <w:p w14:paraId="00803C77" w14:textId="77777777" w:rsidR="00402F98" w:rsidRPr="00DB5616" w:rsidRDefault="00402F98" w:rsidP="00402F98">
      <w:pPr>
        <w:numPr>
          <w:ilvl w:val="0"/>
          <w:numId w:val="2"/>
        </w:numPr>
        <w:spacing w:after="0" w:line="240" w:lineRule="auto"/>
        <w:jc w:val="left"/>
        <w:rPr>
          <w:rFonts w:asciiTheme="minorHAnsi" w:hAnsiTheme="minorHAnsi"/>
          <w:sz w:val="22"/>
        </w:rPr>
      </w:pPr>
      <w:r w:rsidRPr="00DB5616">
        <w:rPr>
          <w:rFonts w:asciiTheme="minorHAnsi" w:hAnsiTheme="minorHAnsi"/>
          <w:sz w:val="22"/>
        </w:rPr>
        <w:t>Matériels roulant à hydrogène,</w:t>
      </w:r>
    </w:p>
    <w:p w14:paraId="79C5D29A" w14:textId="49C2B322" w:rsidR="00402F98" w:rsidRDefault="00402F98" w:rsidP="00402F98">
      <w:pPr>
        <w:numPr>
          <w:ilvl w:val="0"/>
          <w:numId w:val="2"/>
        </w:numPr>
        <w:spacing w:after="0" w:line="240" w:lineRule="auto"/>
        <w:jc w:val="left"/>
        <w:rPr>
          <w:rFonts w:asciiTheme="minorHAnsi" w:hAnsiTheme="minorHAnsi"/>
          <w:sz w:val="22"/>
        </w:rPr>
      </w:pPr>
      <w:r w:rsidRPr="00DB5616">
        <w:rPr>
          <w:rFonts w:asciiTheme="minorHAnsi" w:hAnsiTheme="minorHAnsi"/>
          <w:sz w:val="22"/>
        </w:rPr>
        <w:t>Acquisitions de terrains, de bâtiments.</w:t>
      </w:r>
    </w:p>
    <w:p w14:paraId="4E87EA1D" w14:textId="77777777" w:rsidR="00402F98" w:rsidRDefault="00402F98" w:rsidP="00402F98">
      <w:pPr>
        <w:spacing w:after="0" w:line="240" w:lineRule="auto"/>
        <w:jc w:val="left"/>
        <w:rPr>
          <w:rFonts w:asciiTheme="minorHAnsi" w:hAnsiTheme="minorHAnsi"/>
          <w:sz w:val="22"/>
        </w:rPr>
      </w:pPr>
    </w:p>
    <w:p w14:paraId="12452F50" w14:textId="77777777" w:rsidR="00402F98" w:rsidRDefault="00402F98" w:rsidP="00402F98">
      <w:pPr>
        <w:spacing w:after="0" w:line="240" w:lineRule="auto"/>
        <w:jc w:val="left"/>
        <w:rPr>
          <w:rFonts w:asciiTheme="minorHAnsi" w:hAnsiTheme="minorHAnsi"/>
          <w:sz w:val="22"/>
        </w:rPr>
      </w:pPr>
    </w:p>
    <w:p w14:paraId="19A31DCA" w14:textId="77777777" w:rsidR="00402F98" w:rsidRDefault="00402F98" w:rsidP="00402F98">
      <w:pPr>
        <w:spacing w:after="0" w:line="240" w:lineRule="auto"/>
        <w:jc w:val="left"/>
        <w:rPr>
          <w:rFonts w:asciiTheme="minorHAnsi" w:hAnsiTheme="minorHAnsi"/>
          <w:sz w:val="22"/>
        </w:rPr>
      </w:pPr>
    </w:p>
    <w:p w14:paraId="0F9E095A" w14:textId="77777777" w:rsidR="00402F98" w:rsidRPr="00402F98" w:rsidRDefault="00402F98" w:rsidP="00402F98">
      <w:pPr>
        <w:spacing w:after="0" w:line="240" w:lineRule="auto"/>
        <w:jc w:val="left"/>
        <w:rPr>
          <w:rFonts w:asciiTheme="minorHAnsi" w:hAnsiTheme="minorHAnsi"/>
          <w:sz w:val="22"/>
        </w:rPr>
      </w:pPr>
    </w:p>
    <w:p w14:paraId="27C6D209" w14:textId="77777777" w:rsidR="00402F98" w:rsidRPr="00DB5616" w:rsidRDefault="00402F98" w:rsidP="00402F98">
      <w:pPr>
        <w:spacing w:after="0" w:line="240" w:lineRule="auto"/>
        <w:jc w:val="left"/>
        <w:rPr>
          <w:rFonts w:asciiTheme="minorHAnsi" w:hAnsiTheme="minorHAnsi"/>
          <w:sz w:val="22"/>
        </w:rPr>
      </w:pPr>
    </w:p>
    <w:p w14:paraId="1C212EA8" w14:textId="77777777" w:rsidR="00402F98" w:rsidRPr="00DB5616" w:rsidRDefault="00402F98" w:rsidP="00402F98">
      <w:pPr>
        <w:shd w:val="clear" w:color="auto" w:fill="E2EFD9" w:themeFill="accent6" w:themeFillTint="33"/>
        <w:spacing w:after="0" w:line="240" w:lineRule="auto"/>
        <w:rPr>
          <w:rFonts w:asciiTheme="minorHAnsi" w:hAnsiTheme="minorHAnsi"/>
          <w:b/>
          <w:bCs/>
          <w:sz w:val="28"/>
          <w:szCs w:val="28"/>
        </w:rPr>
      </w:pPr>
      <w:r w:rsidRPr="00DB5616">
        <w:rPr>
          <w:rFonts w:asciiTheme="minorHAnsi" w:hAnsiTheme="minorHAnsi"/>
          <w:b/>
          <w:bCs/>
          <w:color w:val="FFFFFF" w:themeColor="background1"/>
          <w:sz w:val="28"/>
          <w:szCs w:val="28"/>
          <w:shd w:val="clear" w:color="auto" w:fill="70AD47" w:themeFill="accent6"/>
        </w:rPr>
        <w:lastRenderedPageBreak/>
        <w:t>MODALITÉS DE FINANCEMENT ?</w:t>
      </w:r>
      <w:r w:rsidRPr="00DB5616">
        <w:rPr>
          <w:rFonts w:asciiTheme="minorHAnsi" w:hAnsiTheme="minorHAnsi"/>
          <w:b/>
          <w:bCs/>
          <w:sz w:val="28"/>
          <w:szCs w:val="28"/>
          <w:shd w:val="clear" w:color="auto" w:fill="70AD47" w:themeFill="accent6"/>
        </w:rPr>
        <w:t xml:space="preserve"> </w:t>
      </w:r>
      <w:r w:rsidRPr="00DB5616">
        <w:rPr>
          <w:rFonts w:asciiTheme="minorHAnsi" w:hAnsiTheme="minorHAnsi"/>
          <w:b/>
          <w:bCs/>
          <w:sz w:val="28"/>
          <w:szCs w:val="28"/>
        </w:rPr>
        <w:t xml:space="preserve"> </w:t>
      </w:r>
      <w:r w:rsidRPr="00DB5616">
        <w:rPr>
          <w:rFonts w:asciiTheme="minorHAnsi" w:hAnsiTheme="minorHAnsi"/>
          <w:b/>
          <w:bCs/>
          <w:color w:val="002060"/>
          <w:sz w:val="28"/>
          <w:szCs w:val="28"/>
        </w:rPr>
        <w:t>Options de coûts simplifiés</w:t>
      </w:r>
    </w:p>
    <w:p w14:paraId="4007A51E" w14:textId="77777777" w:rsidR="00402F98" w:rsidRPr="00DB5616" w:rsidRDefault="00402F98" w:rsidP="00402F98">
      <w:pPr>
        <w:spacing w:after="0" w:line="240" w:lineRule="auto"/>
        <w:rPr>
          <w:rFonts w:asciiTheme="minorHAnsi" w:hAnsiTheme="minorHAnsi"/>
          <w:sz w:val="22"/>
        </w:rPr>
      </w:pPr>
    </w:p>
    <w:tbl>
      <w:tblPr>
        <w:tblStyle w:val="Grilledutableau"/>
        <w:tblW w:w="10490" w:type="dxa"/>
        <w:tblInd w:w="-5" w:type="dxa"/>
        <w:tblLook w:val="04A0" w:firstRow="1" w:lastRow="0" w:firstColumn="1" w:lastColumn="0" w:noHBand="0" w:noVBand="1"/>
      </w:tblPr>
      <w:tblGrid>
        <w:gridCol w:w="284"/>
        <w:gridCol w:w="501"/>
        <w:gridCol w:w="8287"/>
        <w:gridCol w:w="1418"/>
      </w:tblGrid>
      <w:tr w:rsidR="00402F98" w:rsidRPr="00DB5616" w14:paraId="41D89829" w14:textId="77777777" w:rsidTr="000B288C">
        <w:tc>
          <w:tcPr>
            <w:tcW w:w="785" w:type="dxa"/>
            <w:gridSpan w:val="2"/>
            <w:tcBorders>
              <w:top w:val="nil"/>
              <w:left w:val="nil"/>
              <w:right w:val="nil"/>
            </w:tcBorders>
          </w:tcPr>
          <w:p w14:paraId="005651AF" w14:textId="77777777" w:rsidR="00402F98" w:rsidRPr="00DB5616" w:rsidRDefault="00402F98" w:rsidP="000B288C">
            <w:pPr>
              <w:spacing w:after="0" w:line="240" w:lineRule="auto"/>
              <w:rPr>
                <w:rFonts w:asciiTheme="minorHAnsi" w:hAnsiTheme="minorHAnsi"/>
                <w:sz w:val="22"/>
              </w:rPr>
            </w:pPr>
          </w:p>
        </w:tc>
        <w:tc>
          <w:tcPr>
            <w:tcW w:w="8287" w:type="dxa"/>
            <w:tcBorders>
              <w:top w:val="nil"/>
              <w:left w:val="nil"/>
            </w:tcBorders>
            <w:vAlign w:val="center"/>
          </w:tcPr>
          <w:p w14:paraId="0A885BA1" w14:textId="77777777" w:rsidR="00402F98" w:rsidRPr="00DB5616" w:rsidRDefault="00402F98" w:rsidP="000B288C">
            <w:pPr>
              <w:spacing w:after="0" w:line="240" w:lineRule="auto"/>
              <w:jc w:val="left"/>
              <w:rPr>
                <w:rFonts w:asciiTheme="minorHAnsi" w:hAnsiTheme="minorHAnsi"/>
                <w:b/>
                <w:bCs/>
                <w:color w:val="002060"/>
                <w:sz w:val="22"/>
              </w:rPr>
            </w:pPr>
          </w:p>
        </w:tc>
        <w:tc>
          <w:tcPr>
            <w:tcW w:w="1418" w:type="dxa"/>
            <w:tcBorders>
              <w:left w:val="nil"/>
            </w:tcBorders>
            <w:vAlign w:val="center"/>
          </w:tcPr>
          <w:p w14:paraId="2C2FD3AF" w14:textId="77777777" w:rsidR="00402F98" w:rsidRPr="00DB5616" w:rsidRDefault="00402F98" w:rsidP="000B288C">
            <w:pPr>
              <w:spacing w:after="0" w:line="240" w:lineRule="auto"/>
              <w:jc w:val="center"/>
              <w:rPr>
                <w:rFonts w:asciiTheme="minorHAnsi" w:hAnsiTheme="minorHAnsi"/>
                <w:b/>
                <w:bCs/>
                <w:color w:val="002060"/>
                <w:sz w:val="22"/>
              </w:rPr>
            </w:pPr>
            <w:r w:rsidRPr="00DB5616">
              <w:rPr>
                <w:rFonts w:asciiTheme="minorHAnsi" w:hAnsiTheme="minorHAnsi"/>
                <w:b/>
                <w:bCs/>
                <w:color w:val="002060"/>
                <w:sz w:val="22"/>
              </w:rPr>
              <w:t>Mobilisable sur l’action</w:t>
            </w:r>
          </w:p>
        </w:tc>
      </w:tr>
      <w:tr w:rsidR="00402F98" w:rsidRPr="00DB5616" w14:paraId="688C5648" w14:textId="77777777" w:rsidTr="000B288C">
        <w:tc>
          <w:tcPr>
            <w:tcW w:w="9072" w:type="dxa"/>
            <w:gridSpan w:val="3"/>
            <w:vAlign w:val="center"/>
          </w:tcPr>
          <w:p w14:paraId="2D52454F" w14:textId="77777777" w:rsidR="00402F98" w:rsidRPr="00DB5616" w:rsidRDefault="00402F98" w:rsidP="000B288C">
            <w:pPr>
              <w:spacing w:after="0" w:line="240" w:lineRule="auto"/>
              <w:jc w:val="left"/>
              <w:rPr>
                <w:rFonts w:asciiTheme="minorHAnsi" w:hAnsiTheme="minorHAnsi"/>
                <w:sz w:val="22"/>
              </w:rPr>
            </w:pPr>
            <w:r w:rsidRPr="00DB5616">
              <w:rPr>
                <w:rFonts w:asciiTheme="minorHAnsi" w:hAnsiTheme="minorHAnsi"/>
                <w:b/>
                <w:bCs/>
                <w:color w:val="002060"/>
                <w:sz w:val="22"/>
              </w:rPr>
              <w:t>Taux forfaitaires :</w:t>
            </w:r>
            <w:r w:rsidRPr="00DB5616">
              <w:rPr>
                <w:rFonts w:asciiTheme="minorHAnsi" w:hAnsiTheme="minorHAnsi"/>
                <w:color w:val="002060"/>
                <w:sz w:val="22"/>
              </w:rPr>
              <w:t xml:space="preserve"> </w:t>
            </w:r>
            <w:r w:rsidRPr="00DB5616">
              <w:rPr>
                <w:rFonts w:asciiTheme="minorHAnsi" w:hAnsiTheme="minorHAnsi"/>
                <w:sz w:val="22"/>
              </w:rPr>
              <w:t>obligatoire lorsque le coût total du projet est inférieur à 200 000 €</w:t>
            </w:r>
          </w:p>
        </w:tc>
        <w:tc>
          <w:tcPr>
            <w:tcW w:w="1418" w:type="dxa"/>
            <w:vAlign w:val="center"/>
          </w:tcPr>
          <w:p w14:paraId="4839B2C7" w14:textId="77777777" w:rsidR="00402F98" w:rsidRPr="00DB5616" w:rsidRDefault="00402F98" w:rsidP="000B288C">
            <w:pPr>
              <w:spacing w:after="0" w:line="240" w:lineRule="auto"/>
              <w:jc w:val="center"/>
              <w:rPr>
                <w:rFonts w:asciiTheme="minorHAnsi" w:hAnsiTheme="minorHAnsi"/>
                <w:b/>
                <w:bCs/>
                <w:color w:val="002060"/>
                <w:sz w:val="22"/>
              </w:rPr>
            </w:pPr>
            <w:r w:rsidRPr="00DB5616">
              <w:rPr>
                <w:rFonts w:asciiTheme="minorHAnsi" w:hAnsiTheme="minorHAnsi"/>
                <w:b/>
                <w:bCs/>
                <w:noProof/>
                <w:color w:val="002060"/>
                <w:sz w:val="22"/>
              </w:rPr>
              <w:drawing>
                <wp:inline distT="0" distB="0" distL="0" distR="0" wp14:anchorId="0B200057" wp14:editId="65B9BA88">
                  <wp:extent cx="262393" cy="262393"/>
                  <wp:effectExtent l="0" t="0" r="4445" b="4445"/>
                  <wp:docPr id="207" name="Picture 20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02F98" w:rsidRPr="00DB5616" w14:paraId="0412DD11" w14:textId="77777777" w:rsidTr="000B288C">
        <w:tc>
          <w:tcPr>
            <w:tcW w:w="284" w:type="dxa"/>
            <w:tcBorders>
              <w:right w:val="nil"/>
            </w:tcBorders>
          </w:tcPr>
          <w:p w14:paraId="6AD6E7C3" w14:textId="77777777" w:rsidR="00402F98" w:rsidRPr="00DB5616" w:rsidRDefault="00402F98" w:rsidP="000B288C">
            <w:pPr>
              <w:spacing w:after="0" w:line="240" w:lineRule="auto"/>
              <w:rPr>
                <w:rFonts w:asciiTheme="minorHAnsi" w:hAnsiTheme="minorHAnsi"/>
                <w:sz w:val="22"/>
              </w:rPr>
            </w:pPr>
          </w:p>
        </w:tc>
        <w:tc>
          <w:tcPr>
            <w:tcW w:w="8788" w:type="dxa"/>
            <w:gridSpan w:val="2"/>
            <w:tcBorders>
              <w:left w:val="nil"/>
            </w:tcBorders>
            <w:vAlign w:val="center"/>
          </w:tcPr>
          <w:p w14:paraId="51861B5A" w14:textId="77777777" w:rsidR="00402F98" w:rsidRPr="00DB5616" w:rsidRDefault="00402F98" w:rsidP="000B288C">
            <w:pPr>
              <w:spacing w:after="0" w:line="240" w:lineRule="auto"/>
              <w:jc w:val="left"/>
              <w:rPr>
                <w:rFonts w:asciiTheme="minorHAnsi" w:hAnsiTheme="minorHAnsi"/>
                <w:sz w:val="22"/>
              </w:rPr>
            </w:pPr>
            <w:r w:rsidRPr="00DB5616">
              <w:rPr>
                <w:rFonts w:asciiTheme="minorHAnsi" w:hAnsiTheme="minorHAnsi"/>
                <w:b/>
                <w:bCs/>
                <w:sz w:val="22"/>
              </w:rPr>
              <w:t>Taux de 40% :</w:t>
            </w:r>
            <w:r w:rsidRPr="00DB5616">
              <w:rPr>
                <w:rFonts w:asciiTheme="minorHAnsi" w:hAnsiTheme="minorHAnsi"/>
                <w:sz w:val="22"/>
              </w:rPr>
              <w:t xml:space="preserve"> forfaitise les coûts hors frais directs de personnel dans la limite de 40% des coûts directs de personnel</w:t>
            </w:r>
          </w:p>
        </w:tc>
        <w:tc>
          <w:tcPr>
            <w:tcW w:w="1418" w:type="dxa"/>
            <w:vAlign w:val="center"/>
          </w:tcPr>
          <w:p w14:paraId="20D41ABF" w14:textId="77777777" w:rsidR="00402F98" w:rsidRPr="00DB5616" w:rsidRDefault="00402F98" w:rsidP="000B288C">
            <w:pPr>
              <w:spacing w:after="0" w:line="240" w:lineRule="auto"/>
              <w:jc w:val="center"/>
              <w:rPr>
                <w:rFonts w:asciiTheme="minorHAnsi" w:hAnsiTheme="minorHAnsi"/>
                <w:sz w:val="22"/>
              </w:rPr>
            </w:pPr>
            <w:r w:rsidRPr="00DB5616">
              <w:rPr>
                <w:rFonts w:asciiTheme="minorHAnsi" w:hAnsiTheme="minorHAnsi"/>
                <w:b/>
                <w:bCs/>
                <w:noProof/>
                <w:color w:val="002060"/>
                <w:sz w:val="22"/>
              </w:rPr>
              <w:drawing>
                <wp:inline distT="0" distB="0" distL="0" distR="0" wp14:anchorId="2135E4B3" wp14:editId="2B937315">
                  <wp:extent cx="262393" cy="262393"/>
                  <wp:effectExtent l="0" t="0" r="4445" b="4445"/>
                  <wp:docPr id="208" name="Picture 20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02F98" w:rsidRPr="00DB5616" w14:paraId="1FEBAE50" w14:textId="77777777" w:rsidTr="000B288C">
        <w:tc>
          <w:tcPr>
            <w:tcW w:w="284" w:type="dxa"/>
            <w:tcBorders>
              <w:right w:val="nil"/>
            </w:tcBorders>
          </w:tcPr>
          <w:p w14:paraId="62B79A2F" w14:textId="77777777" w:rsidR="00402F98" w:rsidRPr="00DB5616" w:rsidRDefault="00402F98" w:rsidP="000B288C">
            <w:pPr>
              <w:spacing w:after="0" w:line="240" w:lineRule="auto"/>
              <w:rPr>
                <w:rFonts w:asciiTheme="minorHAnsi" w:hAnsiTheme="minorHAnsi"/>
                <w:sz w:val="22"/>
              </w:rPr>
            </w:pPr>
          </w:p>
        </w:tc>
        <w:tc>
          <w:tcPr>
            <w:tcW w:w="8788" w:type="dxa"/>
            <w:gridSpan w:val="2"/>
            <w:tcBorders>
              <w:left w:val="nil"/>
            </w:tcBorders>
            <w:vAlign w:val="center"/>
          </w:tcPr>
          <w:p w14:paraId="38A2E214" w14:textId="77777777" w:rsidR="00402F98" w:rsidRPr="00DB5616" w:rsidRDefault="00402F98" w:rsidP="000B288C">
            <w:pPr>
              <w:spacing w:after="0" w:line="240" w:lineRule="auto"/>
              <w:jc w:val="left"/>
              <w:rPr>
                <w:rFonts w:asciiTheme="minorHAnsi" w:hAnsiTheme="minorHAnsi"/>
                <w:sz w:val="22"/>
              </w:rPr>
            </w:pPr>
            <w:r w:rsidRPr="00DB5616">
              <w:rPr>
                <w:rFonts w:asciiTheme="minorHAnsi" w:hAnsiTheme="minorHAnsi"/>
                <w:b/>
                <w:bCs/>
                <w:sz w:val="22"/>
              </w:rPr>
              <w:t>Taux de 15% :</w:t>
            </w:r>
            <w:r w:rsidRPr="00DB5616">
              <w:rPr>
                <w:rFonts w:asciiTheme="minorHAnsi" w:hAnsiTheme="minorHAnsi"/>
                <w:sz w:val="22"/>
              </w:rPr>
              <w:t xml:space="preserve"> forfaitise les coûts indirects dans la limite de 15% des coûts directs de personnel</w:t>
            </w:r>
          </w:p>
        </w:tc>
        <w:tc>
          <w:tcPr>
            <w:tcW w:w="1418" w:type="dxa"/>
            <w:vAlign w:val="center"/>
          </w:tcPr>
          <w:p w14:paraId="5BC7ED69" w14:textId="77777777" w:rsidR="00402F98" w:rsidRPr="00DB5616" w:rsidRDefault="00402F98" w:rsidP="000B288C">
            <w:pPr>
              <w:spacing w:after="0" w:line="240" w:lineRule="auto"/>
              <w:jc w:val="center"/>
              <w:rPr>
                <w:rFonts w:asciiTheme="minorHAnsi" w:hAnsiTheme="minorHAnsi"/>
                <w:sz w:val="22"/>
              </w:rPr>
            </w:pPr>
            <w:r w:rsidRPr="00DB5616">
              <w:rPr>
                <w:rFonts w:asciiTheme="minorHAnsi" w:hAnsiTheme="minorHAnsi"/>
                <w:b/>
                <w:bCs/>
                <w:noProof/>
                <w:color w:val="002060"/>
                <w:sz w:val="22"/>
              </w:rPr>
              <w:drawing>
                <wp:inline distT="0" distB="0" distL="0" distR="0" wp14:anchorId="52B2AE1E" wp14:editId="2BCE854C">
                  <wp:extent cx="262393" cy="262393"/>
                  <wp:effectExtent l="0" t="0" r="4445" b="4445"/>
                  <wp:docPr id="209" name="Picture 20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02F98" w:rsidRPr="00DB5616" w14:paraId="44FDFC30" w14:textId="77777777" w:rsidTr="000B288C">
        <w:tc>
          <w:tcPr>
            <w:tcW w:w="284" w:type="dxa"/>
            <w:tcBorders>
              <w:right w:val="nil"/>
            </w:tcBorders>
          </w:tcPr>
          <w:p w14:paraId="2F8AEC62" w14:textId="77777777" w:rsidR="00402F98" w:rsidRPr="00DB5616" w:rsidRDefault="00402F98" w:rsidP="000B288C">
            <w:pPr>
              <w:spacing w:after="0" w:line="240" w:lineRule="auto"/>
              <w:rPr>
                <w:rFonts w:asciiTheme="minorHAnsi" w:hAnsiTheme="minorHAnsi"/>
                <w:sz w:val="22"/>
              </w:rPr>
            </w:pPr>
          </w:p>
        </w:tc>
        <w:tc>
          <w:tcPr>
            <w:tcW w:w="8788" w:type="dxa"/>
            <w:gridSpan w:val="2"/>
            <w:tcBorders>
              <w:left w:val="nil"/>
            </w:tcBorders>
            <w:vAlign w:val="center"/>
          </w:tcPr>
          <w:p w14:paraId="7F9B43B7" w14:textId="77777777" w:rsidR="00402F98" w:rsidRPr="00DB5616" w:rsidRDefault="00402F98" w:rsidP="000B288C">
            <w:pPr>
              <w:spacing w:after="0" w:line="240" w:lineRule="auto"/>
              <w:jc w:val="left"/>
              <w:rPr>
                <w:rFonts w:asciiTheme="minorHAnsi" w:hAnsiTheme="minorHAnsi"/>
                <w:sz w:val="22"/>
              </w:rPr>
            </w:pPr>
            <w:r w:rsidRPr="00DB5616">
              <w:rPr>
                <w:rFonts w:asciiTheme="minorHAnsi" w:hAnsiTheme="minorHAnsi"/>
                <w:b/>
                <w:bCs/>
                <w:sz w:val="22"/>
              </w:rPr>
              <w:t>Taux de 20% :</w:t>
            </w:r>
            <w:r w:rsidRPr="00DB5616">
              <w:rPr>
                <w:rFonts w:asciiTheme="minorHAnsi" w:hAnsiTheme="minorHAnsi"/>
                <w:sz w:val="22"/>
              </w:rPr>
              <w:t xml:space="preserve"> forfaitise les coûts de personnel directs dans la limite de 20% des coûts directs hors frais de personnel directs</w:t>
            </w:r>
          </w:p>
        </w:tc>
        <w:tc>
          <w:tcPr>
            <w:tcW w:w="1418" w:type="dxa"/>
            <w:vAlign w:val="center"/>
          </w:tcPr>
          <w:p w14:paraId="0281B4B4" w14:textId="77777777" w:rsidR="00402F98" w:rsidRPr="00DB5616" w:rsidRDefault="00402F98" w:rsidP="000B288C">
            <w:pPr>
              <w:spacing w:after="0" w:line="240" w:lineRule="auto"/>
              <w:jc w:val="center"/>
              <w:rPr>
                <w:rFonts w:asciiTheme="minorHAnsi" w:hAnsiTheme="minorHAnsi"/>
                <w:sz w:val="22"/>
              </w:rPr>
            </w:pPr>
            <w:r w:rsidRPr="00DB5616">
              <w:rPr>
                <w:rFonts w:asciiTheme="minorHAnsi" w:hAnsiTheme="minorHAnsi"/>
                <w:b/>
                <w:bCs/>
                <w:noProof/>
                <w:color w:val="002060"/>
                <w:sz w:val="22"/>
              </w:rPr>
              <w:drawing>
                <wp:inline distT="0" distB="0" distL="0" distR="0" wp14:anchorId="2CDC8AA1" wp14:editId="23BF0A0C">
                  <wp:extent cx="262393" cy="262393"/>
                  <wp:effectExtent l="0" t="0" r="4445" b="4445"/>
                  <wp:docPr id="210" name="Picture 21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02F98" w:rsidRPr="00DB5616" w14:paraId="20523088" w14:textId="77777777" w:rsidTr="000B288C">
        <w:tc>
          <w:tcPr>
            <w:tcW w:w="284" w:type="dxa"/>
            <w:tcBorders>
              <w:right w:val="nil"/>
            </w:tcBorders>
          </w:tcPr>
          <w:p w14:paraId="5EC08A04" w14:textId="77777777" w:rsidR="00402F98" w:rsidRPr="00DB5616" w:rsidRDefault="00402F98" w:rsidP="000B288C">
            <w:pPr>
              <w:spacing w:after="0" w:line="240" w:lineRule="auto"/>
              <w:rPr>
                <w:rFonts w:asciiTheme="minorHAnsi" w:hAnsiTheme="minorHAnsi"/>
                <w:sz w:val="22"/>
              </w:rPr>
            </w:pPr>
          </w:p>
        </w:tc>
        <w:tc>
          <w:tcPr>
            <w:tcW w:w="8788" w:type="dxa"/>
            <w:gridSpan w:val="2"/>
            <w:tcBorders>
              <w:left w:val="nil"/>
            </w:tcBorders>
            <w:vAlign w:val="center"/>
          </w:tcPr>
          <w:p w14:paraId="1B7B9E5C" w14:textId="77777777" w:rsidR="00402F98" w:rsidRPr="00DB5616" w:rsidRDefault="00402F98" w:rsidP="000B288C">
            <w:pPr>
              <w:spacing w:after="0" w:line="240" w:lineRule="auto"/>
              <w:jc w:val="left"/>
              <w:rPr>
                <w:rFonts w:asciiTheme="minorHAnsi" w:hAnsiTheme="minorHAnsi"/>
                <w:sz w:val="22"/>
              </w:rPr>
            </w:pPr>
            <w:r w:rsidRPr="00DB5616">
              <w:rPr>
                <w:rFonts w:asciiTheme="minorHAnsi" w:hAnsiTheme="minorHAnsi"/>
                <w:b/>
                <w:bCs/>
                <w:sz w:val="22"/>
              </w:rPr>
              <w:t>Taux de 7% :</w:t>
            </w:r>
            <w:r w:rsidRPr="00DB5616">
              <w:rPr>
                <w:rFonts w:asciiTheme="minorHAnsi" w:hAnsiTheme="minorHAnsi"/>
                <w:sz w:val="22"/>
              </w:rPr>
              <w:t xml:space="preserve"> forfaitise les coûts indirects dans la limite de 7% des coûts directs</w:t>
            </w:r>
          </w:p>
        </w:tc>
        <w:tc>
          <w:tcPr>
            <w:tcW w:w="1418" w:type="dxa"/>
            <w:vAlign w:val="center"/>
          </w:tcPr>
          <w:p w14:paraId="70770044" w14:textId="77777777" w:rsidR="00402F98" w:rsidRPr="00DB5616" w:rsidRDefault="00402F98" w:rsidP="000B288C">
            <w:pPr>
              <w:spacing w:after="0" w:line="240" w:lineRule="auto"/>
              <w:jc w:val="center"/>
              <w:rPr>
                <w:rFonts w:asciiTheme="minorHAnsi" w:hAnsiTheme="minorHAnsi"/>
                <w:sz w:val="22"/>
              </w:rPr>
            </w:pPr>
            <w:r w:rsidRPr="00DB5616">
              <w:rPr>
                <w:rFonts w:asciiTheme="minorHAnsi" w:hAnsiTheme="minorHAnsi"/>
                <w:b/>
                <w:bCs/>
                <w:noProof/>
                <w:color w:val="002060"/>
                <w:sz w:val="22"/>
              </w:rPr>
              <w:drawing>
                <wp:inline distT="0" distB="0" distL="0" distR="0" wp14:anchorId="72F133BD" wp14:editId="2A5AE182">
                  <wp:extent cx="262393" cy="262393"/>
                  <wp:effectExtent l="0" t="0" r="4445" b="4445"/>
                  <wp:docPr id="560" name="Picture 56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02F98" w:rsidRPr="00DB5616" w14:paraId="4B8FFFAA" w14:textId="77777777" w:rsidTr="000B288C">
        <w:tc>
          <w:tcPr>
            <w:tcW w:w="284" w:type="dxa"/>
            <w:tcBorders>
              <w:right w:val="nil"/>
            </w:tcBorders>
          </w:tcPr>
          <w:p w14:paraId="0C1CA6C1" w14:textId="77777777" w:rsidR="00402F98" w:rsidRPr="00DB5616" w:rsidRDefault="00402F98" w:rsidP="000B288C">
            <w:pPr>
              <w:spacing w:after="0" w:line="240" w:lineRule="auto"/>
              <w:rPr>
                <w:rFonts w:asciiTheme="minorHAnsi" w:hAnsiTheme="minorHAnsi"/>
                <w:sz w:val="22"/>
              </w:rPr>
            </w:pPr>
          </w:p>
        </w:tc>
        <w:tc>
          <w:tcPr>
            <w:tcW w:w="8788" w:type="dxa"/>
            <w:gridSpan w:val="2"/>
            <w:tcBorders>
              <w:left w:val="nil"/>
            </w:tcBorders>
            <w:vAlign w:val="center"/>
          </w:tcPr>
          <w:p w14:paraId="4235E951" w14:textId="77777777" w:rsidR="00402F98" w:rsidRPr="00DB5616" w:rsidRDefault="00402F98" w:rsidP="000B288C">
            <w:pPr>
              <w:spacing w:after="0" w:line="240" w:lineRule="auto"/>
              <w:jc w:val="left"/>
              <w:rPr>
                <w:rFonts w:asciiTheme="minorHAnsi" w:hAnsiTheme="minorHAnsi"/>
                <w:sz w:val="22"/>
              </w:rPr>
            </w:pPr>
            <w:r w:rsidRPr="00DB5616">
              <w:rPr>
                <w:rFonts w:asciiTheme="minorHAnsi" w:hAnsiTheme="minorHAnsi"/>
                <w:sz w:val="22"/>
              </w:rPr>
              <w:t>Taux forfaitaire(s) applicable(s) dans d’autres politiques de l’UE pour des opérations similaires</w:t>
            </w:r>
          </w:p>
        </w:tc>
        <w:tc>
          <w:tcPr>
            <w:tcW w:w="1418" w:type="dxa"/>
            <w:vAlign w:val="center"/>
          </w:tcPr>
          <w:p w14:paraId="2944B2E7" w14:textId="77777777" w:rsidR="00402F98" w:rsidRPr="00DB5616" w:rsidRDefault="00402F98" w:rsidP="000B288C">
            <w:pPr>
              <w:spacing w:after="0" w:line="240" w:lineRule="auto"/>
              <w:jc w:val="center"/>
              <w:rPr>
                <w:rFonts w:asciiTheme="minorHAnsi" w:hAnsiTheme="minorHAnsi"/>
                <w:sz w:val="22"/>
              </w:rPr>
            </w:pPr>
            <w:r w:rsidRPr="00DB5616">
              <w:rPr>
                <w:rFonts w:asciiTheme="minorHAnsi" w:hAnsiTheme="minorHAnsi"/>
                <w:b/>
                <w:bCs/>
                <w:noProof/>
                <w:color w:val="002060"/>
                <w:sz w:val="22"/>
              </w:rPr>
              <w:drawing>
                <wp:inline distT="0" distB="0" distL="0" distR="0" wp14:anchorId="7B89F7D6" wp14:editId="76F5D51C">
                  <wp:extent cx="262393" cy="262393"/>
                  <wp:effectExtent l="0" t="0" r="4445" b="4445"/>
                  <wp:docPr id="561" name="Picture 561"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02F98" w:rsidRPr="00DB5616" w14:paraId="78A0E847" w14:textId="77777777" w:rsidTr="000B288C">
        <w:tc>
          <w:tcPr>
            <w:tcW w:w="9072" w:type="dxa"/>
            <w:gridSpan w:val="3"/>
            <w:vAlign w:val="center"/>
          </w:tcPr>
          <w:p w14:paraId="6E4FFBFD" w14:textId="77777777" w:rsidR="00402F98" w:rsidRPr="00DB5616" w:rsidRDefault="00402F98" w:rsidP="000B288C">
            <w:pPr>
              <w:spacing w:after="0" w:line="240" w:lineRule="auto"/>
              <w:jc w:val="left"/>
              <w:rPr>
                <w:rFonts w:asciiTheme="minorHAnsi" w:hAnsiTheme="minorHAnsi"/>
                <w:b/>
                <w:bCs/>
                <w:color w:val="002060"/>
                <w:sz w:val="22"/>
              </w:rPr>
            </w:pPr>
            <w:r w:rsidRPr="00DB5616">
              <w:rPr>
                <w:rFonts w:asciiTheme="minorHAnsi" w:hAnsiTheme="minorHAnsi"/>
                <w:b/>
                <w:bCs/>
                <w:color w:val="002060"/>
                <w:sz w:val="22"/>
              </w:rPr>
              <w:t>Montants forfaitaires</w:t>
            </w:r>
          </w:p>
        </w:tc>
        <w:tc>
          <w:tcPr>
            <w:tcW w:w="1418" w:type="dxa"/>
            <w:vAlign w:val="center"/>
          </w:tcPr>
          <w:p w14:paraId="0D8313F2" w14:textId="77777777" w:rsidR="00402F98" w:rsidRPr="00DB5616" w:rsidRDefault="00402F98" w:rsidP="000B288C">
            <w:pPr>
              <w:spacing w:after="0" w:line="240" w:lineRule="auto"/>
              <w:jc w:val="center"/>
              <w:rPr>
                <w:rFonts w:asciiTheme="minorHAnsi" w:hAnsiTheme="minorHAnsi"/>
                <w:b/>
                <w:bCs/>
                <w:color w:val="002060"/>
                <w:sz w:val="22"/>
              </w:rPr>
            </w:pPr>
            <w:r w:rsidRPr="00DB5616">
              <w:rPr>
                <w:rFonts w:asciiTheme="minorHAnsi" w:hAnsiTheme="minorHAnsi"/>
                <w:noProof/>
                <w:sz w:val="22"/>
              </w:rPr>
              <w:drawing>
                <wp:inline distT="0" distB="0" distL="0" distR="0" wp14:anchorId="4FFD837D" wp14:editId="4BAA370A">
                  <wp:extent cx="230505" cy="230505"/>
                  <wp:effectExtent l="0" t="0" r="0" b="0"/>
                  <wp:docPr id="562" name="Picture 562" descr="Interdit"/>
                  <wp:cNvGraphicFramePr/>
                  <a:graphic xmlns:a="http://schemas.openxmlformats.org/drawingml/2006/main">
                    <a:graphicData uri="http://schemas.openxmlformats.org/drawingml/2006/picture">
                      <pic:pic xmlns:pic="http://schemas.openxmlformats.org/drawingml/2006/picture">
                        <pic:nvPicPr>
                          <pic:cNvPr id="8" name="Graphique 8" descr="Interdit"/>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0505" cy="230505"/>
                          </a:xfrm>
                          <a:prstGeom prst="rect">
                            <a:avLst/>
                          </a:prstGeom>
                        </pic:spPr>
                      </pic:pic>
                    </a:graphicData>
                  </a:graphic>
                </wp:inline>
              </w:drawing>
            </w:r>
          </w:p>
        </w:tc>
      </w:tr>
      <w:tr w:rsidR="00402F98" w:rsidRPr="00DB5616" w14:paraId="0EDACE10" w14:textId="77777777" w:rsidTr="000B288C">
        <w:tc>
          <w:tcPr>
            <w:tcW w:w="9072" w:type="dxa"/>
            <w:gridSpan w:val="3"/>
            <w:vAlign w:val="center"/>
          </w:tcPr>
          <w:p w14:paraId="4FFBE2EE" w14:textId="77777777" w:rsidR="00402F98" w:rsidRPr="00DB5616" w:rsidRDefault="00402F98" w:rsidP="000B288C">
            <w:pPr>
              <w:spacing w:after="0" w:line="240" w:lineRule="auto"/>
              <w:jc w:val="left"/>
              <w:rPr>
                <w:rFonts w:asciiTheme="minorHAnsi" w:hAnsiTheme="minorHAnsi"/>
                <w:b/>
                <w:bCs/>
                <w:color w:val="002060"/>
                <w:sz w:val="22"/>
              </w:rPr>
            </w:pPr>
            <w:r w:rsidRPr="00DB5616">
              <w:rPr>
                <w:rFonts w:asciiTheme="minorHAnsi" w:hAnsiTheme="minorHAnsi"/>
                <w:b/>
                <w:bCs/>
                <w:color w:val="002060"/>
                <w:sz w:val="22"/>
              </w:rPr>
              <w:t>Barème standard de coût unitaire : Sous réserve d’évaluation ex-ante fiable et vérifiable</w:t>
            </w:r>
          </w:p>
        </w:tc>
        <w:tc>
          <w:tcPr>
            <w:tcW w:w="1418" w:type="dxa"/>
            <w:vAlign w:val="center"/>
          </w:tcPr>
          <w:p w14:paraId="0D3D971C" w14:textId="77777777" w:rsidR="00402F98" w:rsidRPr="00DB5616" w:rsidRDefault="00402F98" w:rsidP="000B288C">
            <w:pPr>
              <w:spacing w:after="0" w:line="240" w:lineRule="auto"/>
              <w:jc w:val="center"/>
              <w:rPr>
                <w:rFonts w:asciiTheme="minorHAnsi" w:hAnsiTheme="minorHAnsi"/>
                <w:b/>
                <w:bCs/>
                <w:color w:val="002060"/>
                <w:sz w:val="22"/>
              </w:rPr>
            </w:pPr>
            <w:r w:rsidRPr="00DB5616">
              <w:rPr>
                <w:rFonts w:asciiTheme="minorHAnsi" w:hAnsiTheme="minorHAnsi"/>
                <w:noProof/>
                <w:sz w:val="22"/>
              </w:rPr>
              <w:drawing>
                <wp:inline distT="0" distB="0" distL="0" distR="0" wp14:anchorId="5C0E524C" wp14:editId="2C781B61">
                  <wp:extent cx="230505" cy="230505"/>
                  <wp:effectExtent l="0" t="0" r="0" b="0"/>
                  <wp:docPr id="563" name="Picture 563" descr="Interdit"/>
                  <wp:cNvGraphicFramePr/>
                  <a:graphic xmlns:a="http://schemas.openxmlformats.org/drawingml/2006/main">
                    <a:graphicData uri="http://schemas.openxmlformats.org/drawingml/2006/picture">
                      <pic:pic xmlns:pic="http://schemas.openxmlformats.org/drawingml/2006/picture">
                        <pic:nvPicPr>
                          <pic:cNvPr id="8" name="Graphique 8" descr="Interdit"/>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0505" cy="230505"/>
                          </a:xfrm>
                          <a:prstGeom prst="rect">
                            <a:avLst/>
                          </a:prstGeom>
                        </pic:spPr>
                      </pic:pic>
                    </a:graphicData>
                  </a:graphic>
                </wp:inline>
              </w:drawing>
            </w:r>
          </w:p>
        </w:tc>
      </w:tr>
    </w:tbl>
    <w:p w14:paraId="7B1FFAD3" w14:textId="77777777" w:rsidR="00402F98" w:rsidRPr="00DB5616" w:rsidRDefault="00402F98" w:rsidP="00402F98">
      <w:pPr>
        <w:spacing w:after="0" w:line="240" w:lineRule="auto"/>
        <w:rPr>
          <w:rFonts w:asciiTheme="minorHAnsi" w:hAnsiTheme="minorHAnsi"/>
          <w:sz w:val="22"/>
        </w:rPr>
      </w:pPr>
    </w:p>
    <w:p w14:paraId="14E667A4" w14:textId="77777777" w:rsidR="00402F98" w:rsidRPr="00DB5616" w:rsidRDefault="00402F98" w:rsidP="00402F98">
      <w:pPr>
        <w:shd w:val="clear" w:color="auto" w:fill="E2EFD9" w:themeFill="accent6" w:themeFillTint="33"/>
        <w:spacing w:after="0" w:line="240" w:lineRule="auto"/>
        <w:rPr>
          <w:rFonts w:asciiTheme="minorHAnsi" w:hAnsiTheme="minorHAnsi"/>
          <w:b/>
          <w:bCs/>
          <w:sz w:val="28"/>
          <w:szCs w:val="28"/>
        </w:rPr>
      </w:pPr>
      <w:r w:rsidRPr="00DB5616">
        <w:rPr>
          <w:rFonts w:asciiTheme="minorHAnsi" w:hAnsiTheme="minorHAnsi"/>
          <w:b/>
          <w:bCs/>
          <w:color w:val="FFFFFF" w:themeColor="background1"/>
          <w:sz w:val="28"/>
          <w:szCs w:val="28"/>
          <w:shd w:val="clear" w:color="auto" w:fill="70AD47" w:themeFill="accent6"/>
        </w:rPr>
        <w:t>MODALITÉS DE FINANCEMENT ?</w:t>
      </w:r>
      <w:r w:rsidRPr="00DB5616">
        <w:rPr>
          <w:rFonts w:asciiTheme="minorHAnsi" w:hAnsiTheme="minorHAnsi"/>
          <w:b/>
          <w:bCs/>
          <w:sz w:val="28"/>
          <w:szCs w:val="28"/>
          <w:shd w:val="clear" w:color="auto" w:fill="70AD47" w:themeFill="accent6"/>
        </w:rPr>
        <w:t xml:space="preserve"> </w:t>
      </w:r>
      <w:r w:rsidRPr="00DB5616">
        <w:rPr>
          <w:rFonts w:asciiTheme="minorHAnsi" w:hAnsiTheme="minorHAnsi"/>
          <w:b/>
          <w:bCs/>
          <w:sz w:val="28"/>
          <w:szCs w:val="28"/>
        </w:rPr>
        <w:t xml:space="preserve"> </w:t>
      </w:r>
      <w:r w:rsidRPr="00DB5616">
        <w:rPr>
          <w:rFonts w:asciiTheme="minorHAnsi" w:hAnsiTheme="minorHAnsi"/>
          <w:b/>
          <w:bCs/>
          <w:color w:val="002060"/>
          <w:sz w:val="28"/>
          <w:szCs w:val="28"/>
        </w:rPr>
        <w:t>Taux d’aide applicables et seuils d’intervention FEDER</w:t>
      </w:r>
    </w:p>
    <w:p w14:paraId="6622C323" w14:textId="77777777" w:rsidR="00402F98" w:rsidRPr="00DB5616" w:rsidRDefault="00402F98" w:rsidP="00402F98">
      <w:pPr>
        <w:spacing w:after="0" w:line="240" w:lineRule="auto"/>
        <w:rPr>
          <w:rFonts w:asciiTheme="minorHAnsi" w:hAnsiTheme="minorHAnsi"/>
          <w:sz w:val="22"/>
        </w:rPr>
      </w:pPr>
    </w:p>
    <w:tbl>
      <w:tblPr>
        <w:tblStyle w:val="Grilledutableau"/>
        <w:tblW w:w="0" w:type="auto"/>
        <w:tblLook w:val="04A0" w:firstRow="1" w:lastRow="0" w:firstColumn="1" w:lastColumn="0" w:noHBand="0" w:noVBand="1"/>
      </w:tblPr>
      <w:tblGrid>
        <w:gridCol w:w="4515"/>
        <w:gridCol w:w="600"/>
        <w:gridCol w:w="5341"/>
      </w:tblGrid>
      <w:tr w:rsidR="00402F98" w:rsidRPr="00DB5616" w14:paraId="591382E4" w14:textId="77777777" w:rsidTr="000B288C">
        <w:trPr>
          <w:trHeight w:val="2511"/>
        </w:trPr>
        <w:tc>
          <w:tcPr>
            <w:tcW w:w="4515" w:type="dxa"/>
            <w:vAlign w:val="center"/>
          </w:tcPr>
          <w:p w14:paraId="5EA4F745" w14:textId="77777777" w:rsidR="00402F98" w:rsidRPr="00DB5616" w:rsidRDefault="00402F98" w:rsidP="000B288C">
            <w:pPr>
              <w:spacing w:after="0" w:line="240" w:lineRule="auto"/>
              <w:jc w:val="center"/>
              <w:rPr>
                <w:rFonts w:asciiTheme="minorHAnsi" w:hAnsiTheme="minorHAnsi"/>
                <w:b/>
                <w:bCs/>
                <w:sz w:val="22"/>
              </w:rPr>
            </w:pPr>
            <w:r w:rsidRPr="00DB5616">
              <w:rPr>
                <w:rFonts w:asciiTheme="minorHAnsi" w:hAnsiTheme="minorHAnsi"/>
                <w:b/>
                <w:bCs/>
                <w:sz w:val="22"/>
              </w:rPr>
              <w:t>Taux maximum indicatif FEDER du coût total éligible</w:t>
            </w:r>
          </w:p>
          <w:p w14:paraId="79AEFEEF" w14:textId="77777777" w:rsidR="00402F98" w:rsidRPr="00DB5616" w:rsidRDefault="00402F98" w:rsidP="000B288C">
            <w:pPr>
              <w:spacing w:after="0" w:line="240" w:lineRule="auto"/>
              <w:jc w:val="center"/>
              <w:rPr>
                <w:rFonts w:asciiTheme="minorHAnsi" w:hAnsiTheme="minorHAnsi"/>
                <w:szCs w:val="20"/>
              </w:rPr>
            </w:pPr>
            <w:r w:rsidRPr="00DB5616">
              <w:rPr>
                <w:rFonts w:asciiTheme="minorHAnsi" w:hAnsiTheme="minorHAnsi"/>
                <w:szCs w:val="20"/>
              </w:rPr>
              <w:t>(</w:t>
            </w:r>
            <w:proofErr w:type="gramStart"/>
            <w:r w:rsidRPr="00DB5616">
              <w:rPr>
                <w:rFonts w:asciiTheme="minorHAnsi" w:hAnsiTheme="minorHAnsi"/>
                <w:szCs w:val="20"/>
              </w:rPr>
              <w:t>sous</w:t>
            </w:r>
            <w:proofErr w:type="gramEnd"/>
            <w:r w:rsidRPr="00DB5616">
              <w:rPr>
                <w:rFonts w:asciiTheme="minorHAnsi" w:hAnsiTheme="minorHAnsi"/>
                <w:szCs w:val="20"/>
              </w:rPr>
              <w:t xml:space="preserve"> réserve de la règlementation en matière d’aide d’Etat)</w:t>
            </w:r>
          </w:p>
          <w:p w14:paraId="4977141B" w14:textId="77777777" w:rsidR="00402F98" w:rsidRPr="00DB5616" w:rsidRDefault="00402F98" w:rsidP="000B288C">
            <w:pPr>
              <w:spacing w:after="0" w:line="240" w:lineRule="auto"/>
              <w:jc w:val="center"/>
              <w:rPr>
                <w:rFonts w:asciiTheme="minorHAnsi" w:hAnsiTheme="minorHAnsi"/>
                <w:szCs w:val="20"/>
              </w:rPr>
            </w:pPr>
          </w:p>
          <w:p w14:paraId="784B1E41" w14:textId="77777777" w:rsidR="00402F98" w:rsidRPr="00DB5616" w:rsidRDefault="00402F98" w:rsidP="000B288C">
            <w:pPr>
              <w:spacing w:after="0" w:line="240" w:lineRule="auto"/>
              <w:jc w:val="left"/>
              <w:rPr>
                <w:rFonts w:asciiTheme="minorHAnsi" w:hAnsiTheme="minorHAnsi"/>
                <w:sz w:val="22"/>
              </w:rPr>
            </w:pPr>
          </w:p>
        </w:tc>
        <w:tc>
          <w:tcPr>
            <w:tcW w:w="600" w:type="dxa"/>
            <w:vAlign w:val="center"/>
          </w:tcPr>
          <w:p w14:paraId="74D4AAA2" w14:textId="77777777" w:rsidR="00402F98" w:rsidRPr="00DB5616" w:rsidRDefault="00402F98" w:rsidP="000B288C">
            <w:pPr>
              <w:spacing w:after="0" w:line="240" w:lineRule="auto"/>
              <w:jc w:val="center"/>
              <w:rPr>
                <w:rFonts w:asciiTheme="minorHAnsi" w:hAnsiTheme="minorHAnsi"/>
                <w:b/>
                <w:bCs/>
                <w:sz w:val="22"/>
              </w:rPr>
            </w:pPr>
            <w:r w:rsidRPr="00DB5616">
              <w:rPr>
                <w:rFonts w:asciiTheme="minorHAnsi" w:hAnsiTheme="minorHAnsi"/>
                <w:b/>
                <w:bCs/>
                <w:color w:val="00B050"/>
                <w:sz w:val="22"/>
              </w:rPr>
              <w:t>60%</w:t>
            </w:r>
          </w:p>
        </w:tc>
        <w:tc>
          <w:tcPr>
            <w:tcW w:w="5341" w:type="dxa"/>
            <w:vAlign w:val="center"/>
          </w:tcPr>
          <w:p w14:paraId="1DA2EEFB" w14:textId="77777777" w:rsidR="00402F98" w:rsidRPr="00DB5616" w:rsidRDefault="00402F98" w:rsidP="000B288C">
            <w:pPr>
              <w:spacing w:after="0" w:line="240" w:lineRule="auto"/>
              <w:jc w:val="left"/>
              <w:rPr>
                <w:rFonts w:asciiTheme="minorHAnsi" w:hAnsiTheme="minorHAnsi"/>
                <w:b/>
                <w:bCs/>
                <w:sz w:val="22"/>
              </w:rPr>
            </w:pPr>
            <w:r w:rsidRPr="00DB5616">
              <w:rPr>
                <w:rFonts w:asciiTheme="minorHAnsi" w:hAnsiTheme="minorHAnsi"/>
                <w:b/>
                <w:bCs/>
                <w:sz w:val="22"/>
              </w:rPr>
              <w:t xml:space="preserve">Régimes d’aides applicables : </w:t>
            </w:r>
          </w:p>
          <w:p w14:paraId="0EB6DCD7" w14:textId="77777777" w:rsidR="00402F98" w:rsidRPr="00DB5616" w:rsidRDefault="00402F98" w:rsidP="000B288C">
            <w:pPr>
              <w:numPr>
                <w:ilvl w:val="0"/>
                <w:numId w:val="1"/>
              </w:numPr>
              <w:spacing w:after="0" w:line="240" w:lineRule="auto"/>
              <w:jc w:val="left"/>
              <w:rPr>
                <w:rFonts w:asciiTheme="minorHAnsi" w:hAnsiTheme="minorHAnsi"/>
                <w:szCs w:val="20"/>
              </w:rPr>
            </w:pPr>
            <w:r w:rsidRPr="75B9F01A">
              <w:rPr>
                <w:rFonts w:asciiTheme="minorHAnsi" w:hAnsiTheme="minorHAnsi"/>
              </w:rPr>
              <w:t>Toute base juridique pertinente</w:t>
            </w:r>
          </w:p>
          <w:p w14:paraId="1842ECCA" w14:textId="77777777" w:rsidR="00402F98" w:rsidRPr="00DB5616" w:rsidRDefault="00402F98" w:rsidP="000B288C">
            <w:pPr>
              <w:numPr>
                <w:ilvl w:val="0"/>
                <w:numId w:val="1"/>
              </w:numPr>
              <w:spacing w:after="0" w:line="240" w:lineRule="auto"/>
              <w:jc w:val="left"/>
              <w:rPr>
                <w:rFonts w:asciiTheme="minorHAnsi" w:hAnsiTheme="minorHAnsi"/>
                <w:szCs w:val="20"/>
              </w:rPr>
            </w:pPr>
            <w:r w:rsidRPr="75B9F01A">
              <w:rPr>
                <w:rFonts w:asciiTheme="minorHAnsi" w:hAnsiTheme="minorHAnsi"/>
              </w:rPr>
              <w:t xml:space="preserve">Régime Général d’Exemption par Catégorie (RGEC) n°651/2014 du 17 juin 2014. </w:t>
            </w:r>
          </w:p>
          <w:p w14:paraId="5A82BC33" w14:textId="77777777" w:rsidR="00402F98" w:rsidRPr="00DB5616" w:rsidRDefault="00402F98" w:rsidP="000B288C">
            <w:pPr>
              <w:numPr>
                <w:ilvl w:val="0"/>
                <w:numId w:val="1"/>
              </w:numPr>
              <w:spacing w:after="0" w:line="240" w:lineRule="auto"/>
              <w:jc w:val="left"/>
              <w:rPr>
                <w:rFonts w:asciiTheme="minorHAnsi" w:hAnsiTheme="minorHAnsi"/>
                <w:szCs w:val="20"/>
              </w:rPr>
            </w:pPr>
            <w:r w:rsidRPr="75B9F01A">
              <w:rPr>
                <w:rFonts w:asciiTheme="minorHAnsi" w:hAnsiTheme="minorHAnsi"/>
              </w:rPr>
              <w:t xml:space="preserve">Règlement (UE) n° 360/2012 du 25 avril 2012 relatif aux aides de minimis SIEG (Services d’Intérêt Économique Général). </w:t>
            </w:r>
          </w:p>
          <w:p w14:paraId="647AE0EB" w14:textId="77777777" w:rsidR="00402F98" w:rsidRPr="00DB5616" w:rsidRDefault="00402F98" w:rsidP="000B288C">
            <w:pPr>
              <w:numPr>
                <w:ilvl w:val="0"/>
                <w:numId w:val="1"/>
              </w:numPr>
              <w:spacing w:after="0" w:line="240" w:lineRule="auto"/>
              <w:jc w:val="left"/>
              <w:rPr>
                <w:rFonts w:asciiTheme="minorHAnsi" w:hAnsiTheme="minorHAnsi"/>
                <w:sz w:val="22"/>
              </w:rPr>
            </w:pPr>
            <w:r w:rsidRPr="75B9F01A">
              <w:rPr>
                <w:rFonts w:asciiTheme="minorHAnsi" w:hAnsiTheme="minorHAnsi"/>
              </w:rPr>
              <w:t xml:space="preserve">Règlement (UE) n°1407/2013 du 18 décembre 2013 relatif aux aides de minimis. </w:t>
            </w:r>
          </w:p>
        </w:tc>
      </w:tr>
      <w:tr w:rsidR="00402F98" w:rsidRPr="00DB5616" w14:paraId="7AE41AF8" w14:textId="77777777" w:rsidTr="000B288C">
        <w:trPr>
          <w:trHeight w:val="780"/>
        </w:trPr>
        <w:tc>
          <w:tcPr>
            <w:tcW w:w="5115" w:type="dxa"/>
            <w:gridSpan w:val="2"/>
            <w:vAlign w:val="center"/>
          </w:tcPr>
          <w:p w14:paraId="5C9157C4" w14:textId="77777777" w:rsidR="00402F98" w:rsidRPr="00DB5616" w:rsidRDefault="00402F98" w:rsidP="000B288C">
            <w:pPr>
              <w:spacing w:after="0" w:line="240" w:lineRule="auto"/>
              <w:jc w:val="center"/>
              <w:rPr>
                <w:rFonts w:asciiTheme="minorHAnsi" w:hAnsiTheme="minorHAnsi"/>
                <w:b/>
                <w:bCs/>
                <w:color w:val="00B050"/>
                <w:sz w:val="22"/>
              </w:rPr>
            </w:pPr>
            <w:r w:rsidRPr="00DB5616">
              <w:rPr>
                <w:rFonts w:asciiTheme="minorHAnsi" w:hAnsiTheme="minorHAnsi"/>
                <w:b/>
                <w:bCs/>
                <w:sz w:val="22"/>
              </w:rPr>
              <w:t>Montant de l’aide FEDER (minimum/maximum)</w:t>
            </w:r>
          </w:p>
        </w:tc>
        <w:tc>
          <w:tcPr>
            <w:tcW w:w="5341" w:type="dxa"/>
            <w:vAlign w:val="center"/>
          </w:tcPr>
          <w:p w14:paraId="4EE0EC78" w14:textId="77777777" w:rsidR="00402F98" w:rsidRPr="00DB5616" w:rsidRDefault="00402F98" w:rsidP="000B288C">
            <w:pPr>
              <w:spacing w:after="0" w:line="240" w:lineRule="auto"/>
              <w:jc w:val="left"/>
              <w:rPr>
                <w:rFonts w:asciiTheme="minorHAnsi" w:hAnsiTheme="minorHAnsi"/>
                <w:b/>
                <w:bCs/>
                <w:sz w:val="22"/>
              </w:rPr>
            </w:pPr>
          </w:p>
          <w:p w14:paraId="25DC9182" w14:textId="77777777" w:rsidR="00402F98" w:rsidRPr="00DB5616" w:rsidRDefault="00402F98" w:rsidP="000B288C">
            <w:pPr>
              <w:spacing w:after="0" w:line="240" w:lineRule="auto"/>
              <w:jc w:val="left"/>
              <w:rPr>
                <w:rFonts w:asciiTheme="minorHAnsi" w:hAnsiTheme="minorHAnsi" w:cstheme="minorHAnsi"/>
                <w:b/>
                <w:bCs/>
                <w:sz w:val="22"/>
              </w:rPr>
            </w:pPr>
            <w:r w:rsidRPr="00DB5616">
              <w:rPr>
                <w:rFonts w:asciiTheme="minorHAnsi" w:hAnsiTheme="minorHAnsi"/>
                <w:b/>
                <w:bCs/>
                <w:sz w:val="22"/>
              </w:rPr>
              <w:t xml:space="preserve">Minimum : 100 000 </w:t>
            </w:r>
            <w:r w:rsidRPr="00DB5616">
              <w:rPr>
                <w:rFonts w:asciiTheme="minorHAnsi" w:hAnsiTheme="minorHAnsi" w:cstheme="minorHAnsi"/>
                <w:b/>
                <w:bCs/>
                <w:sz w:val="22"/>
              </w:rPr>
              <w:t>€ par projet</w:t>
            </w:r>
          </w:p>
          <w:p w14:paraId="19C700DF" w14:textId="77777777" w:rsidR="00402F98" w:rsidRPr="00DB5616" w:rsidRDefault="00402F98" w:rsidP="000B288C">
            <w:pPr>
              <w:spacing w:after="0" w:line="240" w:lineRule="auto"/>
              <w:jc w:val="left"/>
              <w:rPr>
                <w:rFonts w:asciiTheme="minorHAnsi" w:hAnsiTheme="minorHAnsi" w:cstheme="minorHAnsi"/>
                <w:b/>
                <w:bCs/>
                <w:sz w:val="22"/>
              </w:rPr>
            </w:pPr>
            <w:r w:rsidRPr="00DB5616">
              <w:rPr>
                <w:rFonts w:asciiTheme="minorHAnsi" w:hAnsiTheme="minorHAnsi" w:cstheme="minorHAnsi"/>
                <w:b/>
                <w:bCs/>
                <w:sz w:val="22"/>
              </w:rPr>
              <w:t>Maximum : 2 000 000 € par projet</w:t>
            </w:r>
          </w:p>
          <w:p w14:paraId="027919EC" w14:textId="77777777" w:rsidR="00402F98" w:rsidRPr="00DB5616" w:rsidRDefault="00402F98" w:rsidP="000B288C">
            <w:pPr>
              <w:spacing w:after="0" w:line="240" w:lineRule="auto"/>
              <w:jc w:val="left"/>
              <w:rPr>
                <w:rFonts w:asciiTheme="minorHAnsi" w:hAnsiTheme="minorHAnsi"/>
                <w:b/>
                <w:bCs/>
                <w:sz w:val="22"/>
              </w:rPr>
            </w:pPr>
          </w:p>
        </w:tc>
      </w:tr>
    </w:tbl>
    <w:p w14:paraId="1BEB8AB1" w14:textId="77777777" w:rsidR="00402F98" w:rsidRPr="00DB5616" w:rsidRDefault="00402F98" w:rsidP="00402F98">
      <w:pPr>
        <w:spacing w:after="0" w:line="240" w:lineRule="auto"/>
        <w:rPr>
          <w:rFonts w:asciiTheme="minorHAnsi" w:hAnsiTheme="minorHAnsi"/>
          <w:sz w:val="22"/>
        </w:rPr>
      </w:pPr>
    </w:p>
    <w:p w14:paraId="363476C0" w14:textId="77777777" w:rsidR="00402F98" w:rsidRPr="00DB5616" w:rsidRDefault="00402F98" w:rsidP="00402F98">
      <w:pPr>
        <w:shd w:val="clear" w:color="auto" w:fill="E2EFD9" w:themeFill="accent6" w:themeFillTint="33"/>
        <w:spacing w:after="0" w:line="240" w:lineRule="auto"/>
        <w:rPr>
          <w:rFonts w:asciiTheme="minorHAnsi" w:hAnsiTheme="minorHAnsi"/>
          <w:b/>
          <w:bCs/>
          <w:sz w:val="28"/>
          <w:szCs w:val="28"/>
        </w:rPr>
      </w:pPr>
      <w:r w:rsidRPr="00DB5616">
        <w:rPr>
          <w:rFonts w:asciiTheme="minorHAnsi" w:hAnsiTheme="minorHAnsi"/>
          <w:b/>
          <w:bCs/>
          <w:color w:val="FFFFFF" w:themeColor="background1"/>
          <w:sz w:val="28"/>
          <w:szCs w:val="28"/>
          <w:shd w:val="clear" w:color="auto" w:fill="70AD47" w:themeFill="accent6"/>
        </w:rPr>
        <w:t>MODALITÉS DE FINANCEMENT ?</w:t>
      </w:r>
      <w:r w:rsidRPr="00DB5616">
        <w:rPr>
          <w:rFonts w:asciiTheme="minorHAnsi" w:hAnsiTheme="minorHAnsi"/>
          <w:b/>
          <w:bCs/>
          <w:sz w:val="28"/>
          <w:szCs w:val="28"/>
          <w:shd w:val="clear" w:color="auto" w:fill="70AD47" w:themeFill="accent6"/>
        </w:rPr>
        <w:t xml:space="preserve"> </w:t>
      </w:r>
      <w:r w:rsidRPr="00DB5616">
        <w:rPr>
          <w:rFonts w:asciiTheme="minorHAnsi" w:hAnsiTheme="minorHAnsi"/>
          <w:b/>
          <w:bCs/>
          <w:sz w:val="28"/>
          <w:szCs w:val="28"/>
        </w:rPr>
        <w:t xml:space="preserve"> </w:t>
      </w:r>
      <w:r w:rsidRPr="00DB5616">
        <w:rPr>
          <w:rFonts w:asciiTheme="minorHAnsi" w:hAnsiTheme="minorHAnsi"/>
          <w:b/>
          <w:bCs/>
          <w:color w:val="002060"/>
          <w:sz w:val="28"/>
          <w:szCs w:val="28"/>
        </w:rPr>
        <w:t>Autres cofinanceurs mobilisables (liste non exhaustive)</w:t>
      </w:r>
    </w:p>
    <w:p w14:paraId="15BC8469" w14:textId="77777777" w:rsidR="00402F98" w:rsidRPr="00DB5616" w:rsidRDefault="00402F98" w:rsidP="00402F98">
      <w:pPr>
        <w:spacing w:after="0" w:line="240" w:lineRule="auto"/>
        <w:ind w:left="720"/>
        <w:rPr>
          <w:rFonts w:asciiTheme="minorHAnsi" w:hAnsiTheme="minorHAnsi"/>
          <w:sz w:val="22"/>
        </w:rPr>
      </w:pPr>
    </w:p>
    <w:p w14:paraId="7C306FC1" w14:textId="77777777" w:rsidR="00402F98" w:rsidRPr="00DB5616" w:rsidRDefault="00402F98" w:rsidP="00402F98">
      <w:pPr>
        <w:numPr>
          <w:ilvl w:val="0"/>
          <w:numId w:val="1"/>
        </w:numPr>
        <w:spacing w:after="0" w:line="240" w:lineRule="auto"/>
        <w:jc w:val="left"/>
        <w:rPr>
          <w:rFonts w:asciiTheme="minorHAnsi" w:hAnsiTheme="minorHAnsi"/>
          <w:sz w:val="22"/>
        </w:rPr>
      </w:pPr>
      <w:r w:rsidRPr="00DB5616">
        <w:rPr>
          <w:rFonts w:asciiTheme="minorHAnsi" w:hAnsiTheme="minorHAnsi"/>
          <w:sz w:val="22"/>
        </w:rPr>
        <w:t>Etat (dont ADEME…),</w:t>
      </w:r>
    </w:p>
    <w:p w14:paraId="693C477B" w14:textId="77777777" w:rsidR="00402F98" w:rsidRPr="00DB5616" w:rsidRDefault="00402F98" w:rsidP="00402F98">
      <w:pPr>
        <w:numPr>
          <w:ilvl w:val="0"/>
          <w:numId w:val="1"/>
        </w:numPr>
        <w:spacing w:after="0" w:line="240" w:lineRule="auto"/>
        <w:jc w:val="left"/>
        <w:rPr>
          <w:rFonts w:asciiTheme="minorHAnsi" w:hAnsiTheme="minorHAnsi"/>
          <w:sz w:val="22"/>
        </w:rPr>
      </w:pPr>
      <w:r w:rsidRPr="00DB5616">
        <w:rPr>
          <w:rFonts w:asciiTheme="minorHAnsi" w:hAnsiTheme="minorHAnsi"/>
          <w:sz w:val="22"/>
        </w:rPr>
        <w:t xml:space="preserve">Collectivités territoriales. </w:t>
      </w:r>
    </w:p>
    <w:p w14:paraId="488F2A00" w14:textId="77777777" w:rsidR="00402F98" w:rsidRPr="00DB5616" w:rsidRDefault="00402F98" w:rsidP="00402F98">
      <w:pPr>
        <w:spacing w:after="0" w:line="240" w:lineRule="auto"/>
        <w:rPr>
          <w:rFonts w:asciiTheme="minorHAnsi" w:hAnsiTheme="minorHAnsi"/>
          <w:sz w:val="22"/>
        </w:rPr>
      </w:pPr>
    </w:p>
    <w:p w14:paraId="374B268E" w14:textId="77777777" w:rsidR="00402F98" w:rsidRPr="00DB5616" w:rsidRDefault="00402F98" w:rsidP="00402F98">
      <w:pPr>
        <w:shd w:val="clear" w:color="auto" w:fill="E2CFF1"/>
        <w:spacing w:after="0" w:line="240" w:lineRule="auto"/>
        <w:rPr>
          <w:rFonts w:asciiTheme="minorHAnsi" w:hAnsiTheme="minorHAnsi"/>
          <w:b/>
          <w:bCs/>
          <w:color w:val="002060"/>
          <w:sz w:val="28"/>
          <w:szCs w:val="28"/>
        </w:rPr>
      </w:pPr>
      <w:proofErr w:type="gramStart"/>
      <w:r w:rsidRPr="00DB5616">
        <w:rPr>
          <w:rFonts w:asciiTheme="minorHAnsi" w:hAnsiTheme="minorHAnsi"/>
          <w:b/>
          <w:bCs/>
          <w:color w:val="FFFFFF" w:themeColor="background1"/>
          <w:sz w:val="28"/>
          <w:szCs w:val="28"/>
          <w:shd w:val="clear" w:color="auto" w:fill="7030A0"/>
        </w:rPr>
        <w:t>PERFORMANCE </w:t>
      </w:r>
      <w:r w:rsidRPr="00DB5616">
        <w:rPr>
          <w:rFonts w:asciiTheme="minorHAnsi" w:hAnsiTheme="minorHAnsi"/>
          <w:b/>
          <w:bCs/>
          <w:sz w:val="28"/>
          <w:szCs w:val="28"/>
        </w:rPr>
        <w:t xml:space="preserve"> </w:t>
      </w:r>
      <w:r w:rsidRPr="00DB5616">
        <w:rPr>
          <w:rFonts w:asciiTheme="minorHAnsi" w:hAnsiTheme="minorHAnsi"/>
          <w:b/>
          <w:bCs/>
          <w:color w:val="002060"/>
          <w:sz w:val="28"/>
          <w:szCs w:val="28"/>
        </w:rPr>
        <w:t>Indicateurs</w:t>
      </w:r>
      <w:proofErr w:type="gramEnd"/>
      <w:r w:rsidRPr="00DB5616">
        <w:rPr>
          <w:rFonts w:asciiTheme="minorHAnsi" w:hAnsiTheme="minorHAnsi"/>
          <w:b/>
          <w:bCs/>
          <w:color w:val="002060"/>
          <w:sz w:val="28"/>
          <w:szCs w:val="28"/>
        </w:rPr>
        <w:t xml:space="preserve"> de réalisation et de résultat</w:t>
      </w:r>
    </w:p>
    <w:p w14:paraId="5912E648" w14:textId="77777777" w:rsidR="00402F98" w:rsidRPr="00DB5616" w:rsidRDefault="00402F98" w:rsidP="00402F98">
      <w:pPr>
        <w:spacing w:after="0" w:line="240" w:lineRule="auto"/>
        <w:rPr>
          <w:rFonts w:asciiTheme="minorHAnsi" w:hAnsiTheme="minorHAnsi"/>
          <w:b/>
          <w:bCs/>
          <w:color w:val="FFFFFF" w:themeColor="background1"/>
          <w:sz w:val="28"/>
          <w:szCs w:val="28"/>
          <w:shd w:val="clear" w:color="auto" w:fill="7030A0"/>
        </w:rPr>
      </w:pPr>
    </w:p>
    <w:tbl>
      <w:tblPr>
        <w:tblW w:w="10512" w:type="dxa"/>
        <w:tblCellMar>
          <w:left w:w="70" w:type="dxa"/>
          <w:right w:w="70" w:type="dxa"/>
        </w:tblCellMar>
        <w:tblLook w:val="04A0" w:firstRow="1" w:lastRow="0" w:firstColumn="1" w:lastColumn="0" w:noHBand="0" w:noVBand="1"/>
      </w:tblPr>
      <w:tblGrid>
        <w:gridCol w:w="1155"/>
        <w:gridCol w:w="890"/>
        <w:gridCol w:w="3979"/>
        <w:gridCol w:w="1116"/>
        <w:gridCol w:w="1116"/>
        <w:gridCol w:w="2256"/>
      </w:tblGrid>
      <w:tr w:rsidR="00402F98" w:rsidRPr="00DB5616" w14:paraId="6D00AC22" w14:textId="77777777" w:rsidTr="000B288C">
        <w:trPr>
          <w:trHeight w:val="1033"/>
        </w:trPr>
        <w:tc>
          <w:tcPr>
            <w:tcW w:w="113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194A0C" w14:textId="77777777" w:rsidR="00402F98" w:rsidRPr="00DB5616" w:rsidRDefault="00402F98" w:rsidP="000B288C">
            <w:pPr>
              <w:spacing w:after="0" w:line="240" w:lineRule="auto"/>
              <w:jc w:val="center"/>
              <w:rPr>
                <w:rFonts w:ascii="Calibri" w:eastAsia="Times New Roman" w:hAnsi="Calibri" w:cs="Calibri"/>
                <w:b/>
                <w:bCs/>
                <w:sz w:val="22"/>
                <w:lang w:eastAsia="fr-FR"/>
              </w:rPr>
            </w:pPr>
            <w:r w:rsidRPr="00DB5616">
              <w:rPr>
                <w:rFonts w:ascii="Calibri" w:eastAsia="Times New Roman" w:hAnsi="Calibri" w:cs="Calibri"/>
                <w:b/>
                <w:bCs/>
                <w:sz w:val="22"/>
                <w:lang w:eastAsia="fr-FR"/>
              </w:rPr>
              <w:t>Type</w:t>
            </w:r>
          </w:p>
        </w:tc>
        <w:tc>
          <w:tcPr>
            <w:tcW w:w="753" w:type="dxa"/>
            <w:tcBorders>
              <w:top w:val="single" w:sz="4" w:space="0" w:color="auto"/>
              <w:left w:val="nil"/>
              <w:bottom w:val="single" w:sz="4" w:space="0" w:color="auto"/>
              <w:right w:val="single" w:sz="4" w:space="0" w:color="auto"/>
            </w:tcBorders>
            <w:shd w:val="clear" w:color="000000" w:fill="D9D9D9"/>
            <w:vAlign w:val="center"/>
            <w:hideMark/>
          </w:tcPr>
          <w:p w14:paraId="763A8BCB" w14:textId="77777777" w:rsidR="00402F98" w:rsidRPr="00DB5616" w:rsidRDefault="00402F98" w:rsidP="000B288C">
            <w:pPr>
              <w:spacing w:after="0" w:line="240" w:lineRule="auto"/>
              <w:jc w:val="center"/>
              <w:rPr>
                <w:rFonts w:ascii="Calibri" w:eastAsia="Times New Roman" w:hAnsi="Calibri" w:cs="Calibri"/>
                <w:b/>
                <w:bCs/>
                <w:sz w:val="22"/>
                <w:lang w:eastAsia="fr-FR"/>
              </w:rPr>
            </w:pPr>
            <w:r w:rsidRPr="00DB5616">
              <w:rPr>
                <w:rFonts w:ascii="Calibri" w:eastAsia="Times New Roman" w:hAnsi="Calibri" w:cs="Calibri"/>
                <w:b/>
                <w:bCs/>
                <w:sz w:val="22"/>
                <w:lang w:eastAsia="fr-FR"/>
              </w:rPr>
              <w:t>Numéro</w:t>
            </w:r>
          </w:p>
        </w:tc>
        <w:tc>
          <w:tcPr>
            <w:tcW w:w="4074" w:type="dxa"/>
            <w:tcBorders>
              <w:top w:val="single" w:sz="4" w:space="0" w:color="auto"/>
              <w:left w:val="nil"/>
              <w:bottom w:val="single" w:sz="4" w:space="0" w:color="auto"/>
              <w:right w:val="single" w:sz="4" w:space="0" w:color="auto"/>
            </w:tcBorders>
            <w:shd w:val="clear" w:color="000000" w:fill="D9D9D9"/>
            <w:vAlign w:val="center"/>
            <w:hideMark/>
          </w:tcPr>
          <w:p w14:paraId="3F11D7FE" w14:textId="77777777" w:rsidR="00402F98" w:rsidRPr="00DB5616" w:rsidRDefault="00402F98" w:rsidP="000B288C">
            <w:pPr>
              <w:spacing w:after="0" w:line="240" w:lineRule="auto"/>
              <w:jc w:val="center"/>
              <w:rPr>
                <w:rFonts w:ascii="Calibri" w:eastAsia="Times New Roman" w:hAnsi="Calibri" w:cs="Calibri"/>
                <w:b/>
                <w:bCs/>
                <w:sz w:val="22"/>
                <w:lang w:eastAsia="fr-FR"/>
              </w:rPr>
            </w:pPr>
            <w:r w:rsidRPr="00DB5616">
              <w:rPr>
                <w:rFonts w:ascii="Calibri" w:eastAsia="Times New Roman" w:hAnsi="Calibri" w:cs="Calibri"/>
                <w:b/>
                <w:bCs/>
                <w:sz w:val="22"/>
                <w:lang w:eastAsia="fr-FR"/>
              </w:rPr>
              <w:t>Intitulé</w:t>
            </w:r>
          </w:p>
        </w:tc>
        <w:tc>
          <w:tcPr>
            <w:tcW w:w="1130" w:type="dxa"/>
            <w:tcBorders>
              <w:top w:val="single" w:sz="4" w:space="0" w:color="auto"/>
              <w:left w:val="nil"/>
              <w:bottom w:val="single" w:sz="4" w:space="0" w:color="auto"/>
              <w:right w:val="single" w:sz="4" w:space="0" w:color="auto"/>
            </w:tcBorders>
            <w:shd w:val="clear" w:color="000000" w:fill="DDEBF7"/>
            <w:vAlign w:val="center"/>
            <w:hideMark/>
          </w:tcPr>
          <w:p w14:paraId="2A97FED2" w14:textId="77777777" w:rsidR="00402F98" w:rsidRPr="00DB5616" w:rsidRDefault="00402F98" w:rsidP="000B288C">
            <w:pPr>
              <w:spacing w:after="0" w:line="240" w:lineRule="auto"/>
              <w:jc w:val="center"/>
              <w:rPr>
                <w:rFonts w:ascii="Calibri" w:eastAsia="Times New Roman" w:hAnsi="Calibri" w:cs="Calibri"/>
                <w:b/>
                <w:bCs/>
                <w:sz w:val="22"/>
                <w:lang w:eastAsia="fr-FR"/>
              </w:rPr>
            </w:pPr>
            <w:r w:rsidRPr="00DB5616">
              <w:rPr>
                <w:rFonts w:ascii="Calibri" w:eastAsia="Times New Roman" w:hAnsi="Calibri" w:cs="Calibri"/>
                <w:b/>
                <w:bCs/>
                <w:sz w:val="22"/>
                <w:lang w:eastAsia="fr-FR"/>
              </w:rPr>
              <w:t>Valeur 2024</w:t>
            </w:r>
          </w:p>
        </w:tc>
        <w:tc>
          <w:tcPr>
            <w:tcW w:w="1130" w:type="dxa"/>
            <w:tcBorders>
              <w:top w:val="single" w:sz="4" w:space="0" w:color="auto"/>
              <w:left w:val="nil"/>
              <w:bottom w:val="single" w:sz="4" w:space="0" w:color="auto"/>
              <w:right w:val="single" w:sz="4" w:space="0" w:color="auto"/>
            </w:tcBorders>
            <w:shd w:val="clear" w:color="000000" w:fill="DDEBF7"/>
            <w:vAlign w:val="center"/>
            <w:hideMark/>
          </w:tcPr>
          <w:p w14:paraId="24178613" w14:textId="77777777" w:rsidR="00402F98" w:rsidRPr="00DB5616" w:rsidRDefault="00402F98" w:rsidP="000B288C">
            <w:pPr>
              <w:spacing w:after="0" w:line="240" w:lineRule="auto"/>
              <w:jc w:val="center"/>
              <w:rPr>
                <w:rFonts w:ascii="Calibri" w:eastAsia="Times New Roman" w:hAnsi="Calibri" w:cs="Calibri"/>
                <w:b/>
                <w:bCs/>
                <w:sz w:val="22"/>
                <w:lang w:eastAsia="fr-FR"/>
              </w:rPr>
            </w:pPr>
            <w:r w:rsidRPr="00DB5616">
              <w:rPr>
                <w:rFonts w:ascii="Calibri" w:eastAsia="Times New Roman" w:hAnsi="Calibri" w:cs="Calibri"/>
                <w:b/>
                <w:bCs/>
                <w:sz w:val="22"/>
                <w:lang w:eastAsia="fr-FR"/>
              </w:rPr>
              <w:t>Valeur 2029</w:t>
            </w:r>
          </w:p>
        </w:tc>
        <w:tc>
          <w:tcPr>
            <w:tcW w:w="2292" w:type="dxa"/>
            <w:tcBorders>
              <w:top w:val="single" w:sz="4" w:space="0" w:color="auto"/>
              <w:left w:val="nil"/>
              <w:bottom w:val="single" w:sz="4" w:space="0" w:color="auto"/>
              <w:right w:val="single" w:sz="4" w:space="0" w:color="auto"/>
            </w:tcBorders>
            <w:shd w:val="clear" w:color="000000" w:fill="FFFF00"/>
            <w:vAlign w:val="center"/>
            <w:hideMark/>
          </w:tcPr>
          <w:p w14:paraId="357F3AD4" w14:textId="77777777" w:rsidR="00402F98" w:rsidRPr="00DB5616" w:rsidRDefault="00402F98" w:rsidP="000B288C">
            <w:pPr>
              <w:spacing w:after="0" w:line="240" w:lineRule="auto"/>
              <w:jc w:val="center"/>
              <w:rPr>
                <w:rFonts w:ascii="Calibri" w:eastAsia="Times New Roman" w:hAnsi="Calibri" w:cs="Calibri"/>
                <w:b/>
                <w:bCs/>
                <w:sz w:val="22"/>
                <w:lang w:eastAsia="fr-FR"/>
              </w:rPr>
            </w:pPr>
            <w:r w:rsidRPr="00DB5616">
              <w:rPr>
                <w:rFonts w:ascii="Calibri" w:eastAsia="Times New Roman" w:hAnsi="Calibri" w:cs="Calibri"/>
                <w:b/>
                <w:bCs/>
                <w:sz w:val="22"/>
                <w:lang w:eastAsia="fr-FR"/>
              </w:rPr>
              <w:t>Pièces justificatives</w:t>
            </w:r>
          </w:p>
        </w:tc>
      </w:tr>
      <w:tr w:rsidR="00402F98" w:rsidRPr="00DB5616" w14:paraId="519CF91F" w14:textId="77777777" w:rsidTr="000B288C">
        <w:trPr>
          <w:trHeight w:val="1111"/>
        </w:trPr>
        <w:tc>
          <w:tcPr>
            <w:tcW w:w="1133" w:type="dxa"/>
            <w:tcBorders>
              <w:top w:val="nil"/>
              <w:left w:val="single" w:sz="4" w:space="0" w:color="auto"/>
              <w:bottom w:val="single" w:sz="4" w:space="0" w:color="auto"/>
              <w:right w:val="single" w:sz="4" w:space="0" w:color="auto"/>
            </w:tcBorders>
            <w:shd w:val="clear" w:color="000000" w:fill="FFFFFF"/>
            <w:vAlign w:val="center"/>
            <w:hideMark/>
          </w:tcPr>
          <w:p w14:paraId="4DD87B61" w14:textId="77777777" w:rsidR="00402F98" w:rsidRPr="00DB5616" w:rsidRDefault="00402F98" w:rsidP="000B288C">
            <w:pPr>
              <w:spacing w:after="0" w:line="240" w:lineRule="auto"/>
              <w:jc w:val="center"/>
              <w:rPr>
                <w:rFonts w:ascii="Calibri" w:eastAsia="Times New Roman" w:hAnsi="Calibri" w:cs="Calibri"/>
                <w:b/>
                <w:bCs/>
                <w:color w:val="5B9BD5"/>
                <w:sz w:val="22"/>
                <w:lang w:eastAsia="fr-FR"/>
              </w:rPr>
            </w:pPr>
            <w:r w:rsidRPr="00DB5616">
              <w:rPr>
                <w:rFonts w:ascii="Calibri" w:eastAsia="Times New Roman" w:hAnsi="Calibri" w:cs="Calibri"/>
                <w:b/>
                <w:bCs/>
                <w:color w:val="5B9BD5"/>
                <w:sz w:val="22"/>
                <w:lang w:eastAsia="fr-FR"/>
              </w:rPr>
              <w:t>Réalisation</w:t>
            </w:r>
          </w:p>
        </w:tc>
        <w:tc>
          <w:tcPr>
            <w:tcW w:w="753" w:type="dxa"/>
            <w:tcBorders>
              <w:top w:val="nil"/>
              <w:left w:val="nil"/>
              <w:bottom w:val="single" w:sz="4" w:space="0" w:color="auto"/>
              <w:right w:val="single" w:sz="4" w:space="0" w:color="auto"/>
            </w:tcBorders>
            <w:shd w:val="clear" w:color="000000" w:fill="FFFFFF"/>
            <w:vAlign w:val="center"/>
            <w:hideMark/>
          </w:tcPr>
          <w:p w14:paraId="050208CA" w14:textId="77777777" w:rsidR="00402F98" w:rsidRPr="00DB5616" w:rsidRDefault="00402F98" w:rsidP="000B288C">
            <w:pPr>
              <w:spacing w:after="0" w:line="240" w:lineRule="auto"/>
              <w:jc w:val="center"/>
              <w:rPr>
                <w:rFonts w:ascii="Calibri" w:eastAsia="Times New Roman" w:hAnsi="Calibri" w:cs="Calibri"/>
                <w:sz w:val="22"/>
                <w:lang w:eastAsia="fr-FR"/>
              </w:rPr>
            </w:pPr>
            <w:r w:rsidRPr="00DB5616">
              <w:rPr>
                <w:rFonts w:ascii="Calibri" w:eastAsia="Times New Roman" w:hAnsi="Calibri" w:cs="Calibri"/>
                <w:sz w:val="22"/>
                <w:lang w:eastAsia="fr-FR"/>
              </w:rPr>
              <w:t>SO03</w:t>
            </w:r>
          </w:p>
        </w:tc>
        <w:tc>
          <w:tcPr>
            <w:tcW w:w="4074" w:type="dxa"/>
            <w:tcBorders>
              <w:top w:val="nil"/>
              <w:left w:val="nil"/>
              <w:bottom w:val="single" w:sz="4" w:space="0" w:color="auto"/>
              <w:right w:val="single" w:sz="4" w:space="0" w:color="auto"/>
            </w:tcBorders>
            <w:shd w:val="clear" w:color="000000" w:fill="FFFFFF"/>
            <w:vAlign w:val="center"/>
            <w:hideMark/>
          </w:tcPr>
          <w:p w14:paraId="3A17EAF9" w14:textId="77777777" w:rsidR="00402F98" w:rsidRPr="00DB5616" w:rsidRDefault="00402F98" w:rsidP="000B288C">
            <w:pPr>
              <w:spacing w:after="0" w:line="240" w:lineRule="auto"/>
              <w:jc w:val="left"/>
              <w:rPr>
                <w:rFonts w:ascii="Calibri" w:eastAsia="Times New Roman" w:hAnsi="Calibri" w:cs="Calibri"/>
                <w:sz w:val="22"/>
                <w:lang w:eastAsia="fr-FR"/>
              </w:rPr>
            </w:pPr>
            <w:r w:rsidRPr="00DB5616">
              <w:rPr>
                <w:rFonts w:ascii="Calibri" w:eastAsia="Times New Roman" w:hAnsi="Calibri" w:cs="Calibri"/>
                <w:sz w:val="22"/>
                <w:lang w:eastAsia="fr-FR"/>
              </w:rPr>
              <w:t>Nombre d'écosystèmes hydrogène soutenus</w:t>
            </w:r>
          </w:p>
        </w:tc>
        <w:tc>
          <w:tcPr>
            <w:tcW w:w="1130" w:type="dxa"/>
            <w:tcBorders>
              <w:top w:val="nil"/>
              <w:left w:val="nil"/>
              <w:bottom w:val="single" w:sz="4" w:space="0" w:color="auto"/>
              <w:right w:val="single" w:sz="4" w:space="0" w:color="auto"/>
            </w:tcBorders>
            <w:shd w:val="clear" w:color="000000" w:fill="FFFFFF"/>
            <w:vAlign w:val="center"/>
            <w:hideMark/>
          </w:tcPr>
          <w:p w14:paraId="429E3823" w14:textId="77777777" w:rsidR="00402F98" w:rsidRPr="00DB5616" w:rsidRDefault="00402F98" w:rsidP="000B288C">
            <w:pPr>
              <w:spacing w:after="0" w:line="240" w:lineRule="auto"/>
              <w:jc w:val="center"/>
              <w:rPr>
                <w:rFonts w:ascii="Calibri" w:eastAsia="Times New Roman" w:hAnsi="Calibri" w:cs="Calibri"/>
                <w:sz w:val="22"/>
                <w:lang w:eastAsia="fr-FR"/>
              </w:rPr>
            </w:pPr>
            <w:r w:rsidRPr="00DB5616">
              <w:rPr>
                <w:rFonts w:ascii="Calibri" w:eastAsia="Times New Roman" w:hAnsi="Calibri" w:cs="Calibri"/>
                <w:sz w:val="22"/>
                <w:lang w:eastAsia="fr-FR"/>
              </w:rPr>
              <w:t>1</w:t>
            </w:r>
          </w:p>
        </w:tc>
        <w:tc>
          <w:tcPr>
            <w:tcW w:w="1130" w:type="dxa"/>
            <w:tcBorders>
              <w:top w:val="nil"/>
              <w:left w:val="nil"/>
              <w:bottom w:val="single" w:sz="4" w:space="0" w:color="auto"/>
              <w:right w:val="single" w:sz="4" w:space="0" w:color="auto"/>
            </w:tcBorders>
            <w:shd w:val="clear" w:color="000000" w:fill="FFFFFF"/>
            <w:vAlign w:val="center"/>
            <w:hideMark/>
          </w:tcPr>
          <w:p w14:paraId="4ADC5CD9" w14:textId="77777777" w:rsidR="00402F98" w:rsidRPr="00DB5616" w:rsidRDefault="00402F98" w:rsidP="000B288C">
            <w:pPr>
              <w:spacing w:after="0" w:line="240" w:lineRule="auto"/>
              <w:jc w:val="center"/>
              <w:rPr>
                <w:rFonts w:ascii="Calibri" w:eastAsia="Times New Roman" w:hAnsi="Calibri" w:cs="Calibri"/>
                <w:sz w:val="22"/>
                <w:lang w:eastAsia="fr-FR"/>
              </w:rPr>
            </w:pPr>
            <w:r w:rsidRPr="00DB5616">
              <w:rPr>
                <w:rFonts w:ascii="Calibri" w:eastAsia="Times New Roman" w:hAnsi="Calibri" w:cs="Calibri"/>
                <w:sz w:val="22"/>
                <w:lang w:eastAsia="fr-FR"/>
              </w:rPr>
              <w:t>4</w:t>
            </w:r>
          </w:p>
        </w:tc>
        <w:tc>
          <w:tcPr>
            <w:tcW w:w="2292" w:type="dxa"/>
            <w:tcBorders>
              <w:top w:val="nil"/>
              <w:left w:val="nil"/>
              <w:bottom w:val="single" w:sz="4" w:space="0" w:color="auto"/>
              <w:right w:val="single" w:sz="4" w:space="0" w:color="auto"/>
            </w:tcBorders>
            <w:shd w:val="clear" w:color="000000" w:fill="FFFFFF"/>
            <w:vAlign w:val="center"/>
            <w:hideMark/>
          </w:tcPr>
          <w:p w14:paraId="02E2CB46" w14:textId="77777777" w:rsidR="00402F98" w:rsidRPr="00DB5616" w:rsidRDefault="00402F98" w:rsidP="000B288C">
            <w:pPr>
              <w:spacing w:after="0" w:line="240" w:lineRule="auto"/>
              <w:jc w:val="center"/>
              <w:rPr>
                <w:rFonts w:ascii="Calibri" w:eastAsia="Times New Roman" w:hAnsi="Calibri" w:cs="Calibri"/>
                <w:sz w:val="22"/>
                <w:lang w:eastAsia="fr-FR"/>
              </w:rPr>
            </w:pPr>
            <w:r w:rsidRPr="00DB5616">
              <w:rPr>
                <w:rFonts w:ascii="Calibri" w:eastAsia="Times New Roman" w:hAnsi="Calibri" w:cs="Calibri"/>
                <w:sz w:val="22"/>
                <w:lang w:eastAsia="fr-FR"/>
              </w:rPr>
              <w:t>Attestation de mise en service, bilan d'exécution</w:t>
            </w:r>
          </w:p>
        </w:tc>
      </w:tr>
    </w:tbl>
    <w:p w14:paraId="0E0DF90D" w14:textId="77777777" w:rsidR="00402F98" w:rsidRDefault="00402F98" w:rsidP="00402F98">
      <w:pPr>
        <w:spacing w:after="0" w:line="240" w:lineRule="auto"/>
        <w:rPr>
          <w:rFonts w:asciiTheme="minorHAnsi" w:hAnsiTheme="minorHAnsi"/>
          <w:b/>
          <w:bCs/>
          <w:color w:val="FFFFFF" w:themeColor="background1"/>
          <w:sz w:val="28"/>
          <w:szCs w:val="28"/>
          <w:shd w:val="clear" w:color="auto" w:fill="7030A0"/>
        </w:rPr>
      </w:pPr>
    </w:p>
    <w:p w14:paraId="391C38F2" w14:textId="77777777" w:rsidR="00402F98" w:rsidRDefault="00402F98" w:rsidP="00402F98">
      <w:pPr>
        <w:spacing w:after="0" w:line="240" w:lineRule="auto"/>
        <w:rPr>
          <w:rFonts w:asciiTheme="minorHAnsi" w:hAnsiTheme="minorHAnsi"/>
          <w:b/>
          <w:bCs/>
          <w:color w:val="FFFFFF" w:themeColor="background1"/>
          <w:sz w:val="28"/>
          <w:szCs w:val="28"/>
          <w:shd w:val="clear" w:color="auto" w:fill="7030A0"/>
        </w:rPr>
      </w:pPr>
    </w:p>
    <w:p w14:paraId="389EB801" w14:textId="77777777" w:rsidR="00402F98" w:rsidRPr="00DB5616" w:rsidRDefault="00402F98" w:rsidP="00402F98">
      <w:pPr>
        <w:spacing w:after="0" w:line="240" w:lineRule="auto"/>
        <w:rPr>
          <w:rFonts w:asciiTheme="minorHAnsi" w:hAnsiTheme="minorHAnsi"/>
          <w:b/>
          <w:bCs/>
          <w:color w:val="FFFFFF" w:themeColor="background1"/>
          <w:sz w:val="28"/>
          <w:szCs w:val="28"/>
          <w:shd w:val="clear" w:color="auto" w:fill="7030A0"/>
        </w:rPr>
      </w:pPr>
    </w:p>
    <w:p w14:paraId="49182996" w14:textId="77777777" w:rsidR="00402F98" w:rsidRPr="00DB5616" w:rsidRDefault="00402F98" w:rsidP="00402F98">
      <w:pPr>
        <w:shd w:val="clear" w:color="auto" w:fill="E2CFF1"/>
        <w:spacing w:after="0" w:line="240" w:lineRule="auto"/>
        <w:rPr>
          <w:rFonts w:asciiTheme="minorHAnsi" w:hAnsiTheme="minorHAnsi"/>
          <w:b/>
          <w:bCs/>
          <w:sz w:val="28"/>
          <w:szCs w:val="28"/>
        </w:rPr>
      </w:pPr>
      <w:proofErr w:type="gramStart"/>
      <w:r w:rsidRPr="00DB5616">
        <w:rPr>
          <w:rFonts w:asciiTheme="minorHAnsi" w:hAnsiTheme="minorHAnsi"/>
          <w:b/>
          <w:bCs/>
          <w:color w:val="FFFFFF" w:themeColor="background1"/>
          <w:sz w:val="28"/>
          <w:szCs w:val="28"/>
          <w:shd w:val="clear" w:color="auto" w:fill="7030A0"/>
        </w:rPr>
        <w:lastRenderedPageBreak/>
        <w:t>PERFORMANCE </w:t>
      </w:r>
      <w:r w:rsidRPr="00DB5616">
        <w:rPr>
          <w:rFonts w:asciiTheme="minorHAnsi" w:hAnsiTheme="minorHAnsi"/>
          <w:b/>
          <w:bCs/>
          <w:sz w:val="28"/>
          <w:szCs w:val="28"/>
        </w:rPr>
        <w:t xml:space="preserve"> </w:t>
      </w:r>
      <w:r w:rsidRPr="00DB5616">
        <w:rPr>
          <w:rFonts w:asciiTheme="minorHAnsi" w:hAnsiTheme="minorHAnsi"/>
          <w:b/>
          <w:bCs/>
          <w:color w:val="002060"/>
          <w:sz w:val="28"/>
          <w:szCs w:val="28"/>
        </w:rPr>
        <w:t>Cibles</w:t>
      </w:r>
      <w:proofErr w:type="gramEnd"/>
      <w:r w:rsidRPr="00DB5616">
        <w:rPr>
          <w:rFonts w:asciiTheme="minorHAnsi" w:hAnsiTheme="minorHAnsi"/>
          <w:b/>
          <w:bCs/>
          <w:color w:val="002060"/>
          <w:sz w:val="28"/>
          <w:szCs w:val="28"/>
        </w:rPr>
        <w:t xml:space="preserve"> financières à atteindre sur l’action</w:t>
      </w:r>
    </w:p>
    <w:p w14:paraId="3F002C5E" w14:textId="77777777" w:rsidR="00402F98" w:rsidRPr="00DB5616" w:rsidRDefault="00402F98" w:rsidP="00402F98">
      <w:pPr>
        <w:spacing w:after="0" w:line="240" w:lineRule="auto"/>
        <w:rPr>
          <w:rFonts w:asciiTheme="minorHAnsi" w:hAnsiTheme="minorHAnsi"/>
          <w:sz w:val="22"/>
        </w:rPr>
      </w:pPr>
    </w:p>
    <w:p w14:paraId="04B2F9EE" w14:textId="77777777" w:rsidR="00402F98" w:rsidRPr="00DB5616" w:rsidRDefault="00402F98" w:rsidP="00402F98">
      <w:pPr>
        <w:spacing w:after="0" w:line="240" w:lineRule="auto"/>
        <w:rPr>
          <w:rFonts w:asciiTheme="minorHAnsi" w:hAnsiTheme="minorHAnsi"/>
          <w:b/>
          <w:bCs/>
          <w:sz w:val="22"/>
        </w:rPr>
      </w:pPr>
      <w:r w:rsidRPr="00DB5616">
        <w:rPr>
          <w:rFonts w:asciiTheme="minorHAnsi" w:hAnsiTheme="minorHAnsi"/>
          <w:b/>
          <w:bCs/>
          <w:sz w:val="22"/>
        </w:rPr>
        <w:t>6 500 000 €</w:t>
      </w:r>
    </w:p>
    <w:p w14:paraId="612AC287" w14:textId="77777777" w:rsidR="00402F98" w:rsidRPr="00DB5616" w:rsidRDefault="00402F98" w:rsidP="00402F98">
      <w:pPr>
        <w:spacing w:after="0" w:line="240" w:lineRule="auto"/>
        <w:rPr>
          <w:rFonts w:asciiTheme="minorHAnsi" w:hAnsiTheme="minorHAnsi"/>
          <w:sz w:val="22"/>
        </w:rPr>
      </w:pPr>
    </w:p>
    <w:p w14:paraId="40758F2F" w14:textId="77777777" w:rsidR="00402F98" w:rsidRPr="00DB5616" w:rsidRDefault="00402F98" w:rsidP="00402F98">
      <w:pPr>
        <w:shd w:val="clear" w:color="auto" w:fill="E2CFF1"/>
        <w:spacing w:after="0" w:line="240" w:lineRule="auto"/>
        <w:rPr>
          <w:rFonts w:asciiTheme="minorHAnsi" w:hAnsiTheme="minorHAnsi"/>
          <w:b/>
          <w:bCs/>
          <w:sz w:val="28"/>
          <w:szCs w:val="28"/>
        </w:rPr>
      </w:pPr>
      <w:proofErr w:type="gramStart"/>
      <w:r w:rsidRPr="00DB5616">
        <w:rPr>
          <w:rFonts w:asciiTheme="minorHAnsi" w:hAnsiTheme="minorHAnsi"/>
          <w:b/>
          <w:bCs/>
          <w:color w:val="FFFFFF" w:themeColor="background1"/>
          <w:sz w:val="28"/>
          <w:szCs w:val="28"/>
          <w:shd w:val="clear" w:color="auto" w:fill="7030A0"/>
        </w:rPr>
        <w:t>PERFORMANCE </w:t>
      </w:r>
      <w:r w:rsidRPr="00DB5616">
        <w:rPr>
          <w:rFonts w:asciiTheme="minorHAnsi" w:hAnsiTheme="minorHAnsi"/>
          <w:b/>
          <w:bCs/>
          <w:sz w:val="28"/>
          <w:szCs w:val="28"/>
        </w:rPr>
        <w:t xml:space="preserve"> </w:t>
      </w:r>
      <w:r w:rsidRPr="00DB5616">
        <w:rPr>
          <w:rFonts w:asciiTheme="minorHAnsi" w:hAnsiTheme="minorHAnsi"/>
          <w:b/>
          <w:bCs/>
          <w:color w:val="002060"/>
          <w:sz w:val="28"/>
          <w:szCs w:val="28"/>
        </w:rPr>
        <w:t>Instruments</w:t>
      </w:r>
      <w:proofErr w:type="gramEnd"/>
      <w:r w:rsidRPr="00DB5616">
        <w:rPr>
          <w:rFonts w:asciiTheme="minorHAnsi" w:hAnsiTheme="minorHAnsi"/>
          <w:b/>
          <w:bCs/>
          <w:color w:val="002060"/>
          <w:sz w:val="28"/>
          <w:szCs w:val="28"/>
        </w:rPr>
        <w:t xml:space="preserve"> financiers applicables</w:t>
      </w:r>
    </w:p>
    <w:p w14:paraId="7902C541" w14:textId="77777777" w:rsidR="00402F98" w:rsidRPr="00DB5616" w:rsidRDefault="00402F98" w:rsidP="00402F98">
      <w:pPr>
        <w:spacing w:after="0" w:line="240" w:lineRule="auto"/>
        <w:rPr>
          <w:rFonts w:asciiTheme="minorHAnsi" w:hAnsiTheme="minorHAnsi"/>
          <w:sz w:val="22"/>
        </w:rPr>
      </w:pPr>
    </w:p>
    <w:tbl>
      <w:tblPr>
        <w:tblStyle w:val="Grilledutableau"/>
        <w:tblW w:w="0" w:type="auto"/>
        <w:tblBorders>
          <w:top w:val="none" w:sz="0" w:space="0" w:color="auto"/>
          <w:left w:val="none" w:sz="0" w:space="0" w:color="auto"/>
        </w:tblBorders>
        <w:tblLook w:val="04A0" w:firstRow="1" w:lastRow="0" w:firstColumn="1" w:lastColumn="0" w:noHBand="0" w:noVBand="1"/>
      </w:tblPr>
      <w:tblGrid>
        <w:gridCol w:w="9067"/>
        <w:gridCol w:w="1389"/>
      </w:tblGrid>
      <w:tr w:rsidR="00402F98" w:rsidRPr="00DB5616" w14:paraId="249120A1" w14:textId="77777777" w:rsidTr="000B288C">
        <w:tc>
          <w:tcPr>
            <w:tcW w:w="9067" w:type="dxa"/>
            <w:tcBorders>
              <w:bottom w:val="single" w:sz="4" w:space="0" w:color="auto"/>
            </w:tcBorders>
            <w:vAlign w:val="center"/>
          </w:tcPr>
          <w:p w14:paraId="7A563DE1" w14:textId="77777777" w:rsidR="00402F98" w:rsidRPr="00DB5616" w:rsidRDefault="00402F98" w:rsidP="000B288C">
            <w:pPr>
              <w:spacing w:after="0" w:line="240" w:lineRule="auto"/>
              <w:jc w:val="center"/>
              <w:rPr>
                <w:rFonts w:asciiTheme="minorHAnsi" w:hAnsiTheme="minorHAnsi"/>
                <w:sz w:val="22"/>
              </w:rPr>
            </w:pPr>
          </w:p>
        </w:tc>
        <w:tc>
          <w:tcPr>
            <w:tcW w:w="1389" w:type="dxa"/>
            <w:tcBorders>
              <w:top w:val="single" w:sz="4" w:space="0" w:color="auto"/>
            </w:tcBorders>
            <w:vAlign w:val="center"/>
          </w:tcPr>
          <w:p w14:paraId="5990D6E6" w14:textId="77777777" w:rsidR="00402F98" w:rsidRPr="00DB5616" w:rsidRDefault="00402F98" w:rsidP="000B288C">
            <w:pPr>
              <w:spacing w:after="0" w:line="240" w:lineRule="auto"/>
              <w:jc w:val="center"/>
              <w:rPr>
                <w:rFonts w:asciiTheme="minorHAnsi" w:hAnsiTheme="minorHAnsi"/>
                <w:b/>
                <w:bCs/>
                <w:sz w:val="22"/>
              </w:rPr>
            </w:pPr>
            <w:r w:rsidRPr="00DB5616">
              <w:rPr>
                <w:rFonts w:asciiTheme="minorHAnsi" w:hAnsiTheme="minorHAnsi"/>
                <w:b/>
                <w:bCs/>
                <w:color w:val="002060"/>
                <w:sz w:val="22"/>
              </w:rPr>
              <w:t>Mobilisable sur l’action</w:t>
            </w:r>
          </w:p>
        </w:tc>
      </w:tr>
      <w:tr w:rsidR="00402F98" w:rsidRPr="00DB5616" w14:paraId="43D87F49" w14:textId="77777777" w:rsidTr="000B288C">
        <w:tc>
          <w:tcPr>
            <w:tcW w:w="9067" w:type="dxa"/>
            <w:tcBorders>
              <w:top w:val="single" w:sz="4" w:space="0" w:color="auto"/>
              <w:left w:val="single" w:sz="4" w:space="0" w:color="auto"/>
            </w:tcBorders>
            <w:vAlign w:val="center"/>
          </w:tcPr>
          <w:p w14:paraId="6E9D899E" w14:textId="77777777" w:rsidR="00402F98" w:rsidRPr="00DB5616" w:rsidRDefault="00402F98" w:rsidP="000B288C">
            <w:pPr>
              <w:spacing w:after="0" w:line="240" w:lineRule="auto"/>
              <w:jc w:val="left"/>
              <w:rPr>
                <w:rFonts w:asciiTheme="minorHAnsi" w:hAnsiTheme="minorHAnsi"/>
                <w:sz w:val="22"/>
              </w:rPr>
            </w:pPr>
            <w:r w:rsidRPr="00DB5616">
              <w:rPr>
                <w:rFonts w:asciiTheme="minorHAnsi" w:hAnsiTheme="minorHAnsi"/>
                <w:sz w:val="22"/>
              </w:rPr>
              <w:t>1 – Subvention non remboursable</w:t>
            </w:r>
          </w:p>
        </w:tc>
        <w:tc>
          <w:tcPr>
            <w:tcW w:w="1389" w:type="dxa"/>
            <w:vAlign w:val="center"/>
          </w:tcPr>
          <w:p w14:paraId="2CB55707" w14:textId="77777777" w:rsidR="00402F98" w:rsidRPr="00DB5616" w:rsidRDefault="00402F98" w:rsidP="000B288C">
            <w:pPr>
              <w:spacing w:after="0" w:line="240" w:lineRule="auto"/>
              <w:jc w:val="center"/>
              <w:rPr>
                <w:rFonts w:asciiTheme="minorHAnsi" w:hAnsiTheme="minorHAnsi"/>
                <w:sz w:val="22"/>
              </w:rPr>
            </w:pPr>
            <w:r w:rsidRPr="00DB5616">
              <w:rPr>
                <w:rFonts w:asciiTheme="minorHAnsi" w:hAnsiTheme="minorHAnsi"/>
                <w:b/>
                <w:bCs/>
                <w:noProof/>
                <w:color w:val="002060"/>
                <w:sz w:val="22"/>
              </w:rPr>
              <w:drawing>
                <wp:inline distT="0" distB="0" distL="0" distR="0" wp14:anchorId="16BF360D" wp14:editId="40895415">
                  <wp:extent cx="262393" cy="262393"/>
                  <wp:effectExtent l="0" t="0" r="4445" b="4445"/>
                  <wp:docPr id="784945284" name="Picture 78494528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402F98" w:rsidRPr="00DB5616" w14:paraId="2DE98CD7" w14:textId="77777777" w:rsidTr="000B288C">
        <w:tc>
          <w:tcPr>
            <w:tcW w:w="9067" w:type="dxa"/>
            <w:tcBorders>
              <w:top w:val="single" w:sz="4" w:space="0" w:color="auto"/>
              <w:left w:val="single" w:sz="4" w:space="0" w:color="auto"/>
            </w:tcBorders>
            <w:vAlign w:val="center"/>
          </w:tcPr>
          <w:p w14:paraId="6397E1E5" w14:textId="77777777" w:rsidR="00402F98" w:rsidRPr="00DB5616" w:rsidRDefault="00402F98" w:rsidP="000B288C">
            <w:pPr>
              <w:spacing w:after="0" w:line="240" w:lineRule="auto"/>
              <w:jc w:val="left"/>
              <w:rPr>
                <w:rFonts w:asciiTheme="minorHAnsi" w:hAnsiTheme="minorHAnsi"/>
                <w:sz w:val="22"/>
              </w:rPr>
            </w:pPr>
            <w:r w:rsidRPr="00DB5616">
              <w:rPr>
                <w:rFonts w:asciiTheme="minorHAnsi" w:hAnsiTheme="minorHAnsi"/>
                <w:sz w:val="22"/>
              </w:rPr>
              <w:t>2 – Subvention remboursable</w:t>
            </w:r>
          </w:p>
        </w:tc>
        <w:tc>
          <w:tcPr>
            <w:tcW w:w="1389" w:type="dxa"/>
            <w:vAlign w:val="center"/>
          </w:tcPr>
          <w:p w14:paraId="54C1E7E1" w14:textId="77777777" w:rsidR="00402F98" w:rsidRPr="00DB5616" w:rsidRDefault="00402F98" w:rsidP="000B288C">
            <w:pPr>
              <w:spacing w:after="0" w:line="240" w:lineRule="auto"/>
              <w:jc w:val="center"/>
              <w:rPr>
                <w:rFonts w:asciiTheme="minorHAnsi" w:hAnsiTheme="minorHAnsi"/>
                <w:sz w:val="22"/>
              </w:rPr>
            </w:pPr>
            <w:r w:rsidRPr="00DB5616">
              <w:rPr>
                <w:rFonts w:asciiTheme="minorHAnsi" w:hAnsiTheme="minorHAnsi"/>
                <w:b/>
                <w:bCs/>
                <w:noProof/>
                <w:color w:val="002060"/>
                <w:sz w:val="22"/>
              </w:rPr>
              <w:drawing>
                <wp:inline distT="0" distB="0" distL="0" distR="0" wp14:anchorId="6F6B8EC8" wp14:editId="0C5170BE">
                  <wp:extent cx="230588" cy="230588"/>
                  <wp:effectExtent l="0" t="0" r="0" b="0"/>
                  <wp:docPr id="784945285" name="Picture 78494528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402F98" w:rsidRPr="00DB5616" w14:paraId="0EBC46A5" w14:textId="77777777" w:rsidTr="000B288C">
        <w:tc>
          <w:tcPr>
            <w:tcW w:w="9067" w:type="dxa"/>
            <w:tcBorders>
              <w:top w:val="single" w:sz="4" w:space="0" w:color="auto"/>
              <w:left w:val="single" w:sz="4" w:space="0" w:color="auto"/>
            </w:tcBorders>
            <w:vAlign w:val="center"/>
          </w:tcPr>
          <w:p w14:paraId="73CCCF5F" w14:textId="77777777" w:rsidR="00402F98" w:rsidRPr="00DB5616" w:rsidRDefault="00402F98" w:rsidP="000B288C">
            <w:pPr>
              <w:spacing w:after="0" w:line="240" w:lineRule="auto"/>
              <w:jc w:val="left"/>
              <w:rPr>
                <w:rFonts w:asciiTheme="minorHAnsi" w:hAnsiTheme="minorHAnsi"/>
                <w:sz w:val="22"/>
              </w:rPr>
            </w:pPr>
            <w:r w:rsidRPr="00DB5616">
              <w:rPr>
                <w:rFonts w:asciiTheme="minorHAnsi" w:hAnsiTheme="minorHAnsi"/>
                <w:sz w:val="22"/>
              </w:rPr>
              <w:t>3 – Soutien par le biais d’instruments financiers : capital risque et de fonds propres ou équivalent</w:t>
            </w:r>
          </w:p>
        </w:tc>
        <w:tc>
          <w:tcPr>
            <w:tcW w:w="1389" w:type="dxa"/>
            <w:vAlign w:val="center"/>
          </w:tcPr>
          <w:p w14:paraId="133C635B" w14:textId="77777777" w:rsidR="00402F98" w:rsidRPr="00DB5616" w:rsidRDefault="00402F98" w:rsidP="000B288C">
            <w:pPr>
              <w:spacing w:after="0" w:line="240" w:lineRule="auto"/>
              <w:jc w:val="center"/>
              <w:rPr>
                <w:rFonts w:asciiTheme="minorHAnsi" w:hAnsiTheme="minorHAnsi"/>
                <w:sz w:val="22"/>
              </w:rPr>
            </w:pPr>
            <w:r w:rsidRPr="00DB5616">
              <w:rPr>
                <w:rFonts w:asciiTheme="minorHAnsi" w:hAnsiTheme="minorHAnsi"/>
                <w:b/>
                <w:bCs/>
                <w:noProof/>
                <w:color w:val="002060"/>
                <w:sz w:val="22"/>
              </w:rPr>
              <w:drawing>
                <wp:inline distT="0" distB="0" distL="0" distR="0" wp14:anchorId="2B5ED3A9" wp14:editId="6FEABB6E">
                  <wp:extent cx="230588" cy="230588"/>
                  <wp:effectExtent l="0" t="0" r="0" b="0"/>
                  <wp:docPr id="784945286" name="Picture 78494528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402F98" w:rsidRPr="00DB5616" w14:paraId="60EBF49F" w14:textId="77777777" w:rsidTr="000B288C">
        <w:tc>
          <w:tcPr>
            <w:tcW w:w="9067" w:type="dxa"/>
            <w:tcBorders>
              <w:top w:val="single" w:sz="4" w:space="0" w:color="auto"/>
              <w:left w:val="single" w:sz="4" w:space="0" w:color="auto"/>
            </w:tcBorders>
            <w:vAlign w:val="center"/>
          </w:tcPr>
          <w:p w14:paraId="67EEDE56" w14:textId="77777777" w:rsidR="00402F98" w:rsidRPr="00DB5616" w:rsidRDefault="00402F98" w:rsidP="000B288C">
            <w:pPr>
              <w:spacing w:after="0" w:line="240" w:lineRule="auto"/>
              <w:jc w:val="left"/>
              <w:rPr>
                <w:rFonts w:asciiTheme="minorHAnsi" w:hAnsiTheme="minorHAnsi"/>
                <w:sz w:val="22"/>
              </w:rPr>
            </w:pPr>
            <w:r w:rsidRPr="00DB5616">
              <w:rPr>
                <w:rFonts w:asciiTheme="minorHAnsi" w:hAnsiTheme="minorHAnsi"/>
                <w:sz w:val="22"/>
              </w:rPr>
              <w:t>4 – Soutien par le biais d’instruments financiers : prêt ou équivalent</w:t>
            </w:r>
          </w:p>
        </w:tc>
        <w:tc>
          <w:tcPr>
            <w:tcW w:w="1389" w:type="dxa"/>
            <w:vAlign w:val="center"/>
          </w:tcPr>
          <w:p w14:paraId="51D48480" w14:textId="77777777" w:rsidR="00402F98" w:rsidRPr="00DB5616" w:rsidRDefault="00402F98" w:rsidP="000B288C">
            <w:pPr>
              <w:spacing w:after="0" w:line="240" w:lineRule="auto"/>
              <w:jc w:val="center"/>
              <w:rPr>
                <w:rFonts w:asciiTheme="minorHAnsi" w:hAnsiTheme="minorHAnsi"/>
                <w:sz w:val="22"/>
              </w:rPr>
            </w:pPr>
            <w:r w:rsidRPr="00DB5616">
              <w:rPr>
                <w:rFonts w:asciiTheme="minorHAnsi" w:hAnsiTheme="minorHAnsi"/>
                <w:b/>
                <w:bCs/>
                <w:noProof/>
                <w:color w:val="002060"/>
                <w:sz w:val="22"/>
              </w:rPr>
              <w:drawing>
                <wp:inline distT="0" distB="0" distL="0" distR="0" wp14:anchorId="1B255E47" wp14:editId="039E9241">
                  <wp:extent cx="230588" cy="230588"/>
                  <wp:effectExtent l="0" t="0" r="0" b="0"/>
                  <wp:docPr id="784945287" name="Picture 78494528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402F98" w:rsidRPr="00DB5616" w14:paraId="53EDDC6A" w14:textId="77777777" w:rsidTr="000B288C">
        <w:tc>
          <w:tcPr>
            <w:tcW w:w="9067" w:type="dxa"/>
            <w:tcBorders>
              <w:top w:val="single" w:sz="4" w:space="0" w:color="auto"/>
              <w:left w:val="single" w:sz="4" w:space="0" w:color="auto"/>
            </w:tcBorders>
            <w:vAlign w:val="center"/>
          </w:tcPr>
          <w:p w14:paraId="57145499" w14:textId="77777777" w:rsidR="00402F98" w:rsidRPr="00DB5616" w:rsidRDefault="00402F98" w:rsidP="000B288C">
            <w:pPr>
              <w:spacing w:after="0" w:line="240" w:lineRule="auto"/>
              <w:jc w:val="left"/>
              <w:rPr>
                <w:rFonts w:asciiTheme="minorHAnsi" w:hAnsiTheme="minorHAnsi"/>
                <w:sz w:val="22"/>
              </w:rPr>
            </w:pPr>
            <w:r w:rsidRPr="00DB5616">
              <w:rPr>
                <w:rFonts w:asciiTheme="minorHAnsi" w:hAnsiTheme="minorHAnsi"/>
                <w:sz w:val="22"/>
              </w:rPr>
              <w:t>5 – Soutien par le biais d’instruments financiers : garantie ou équivalent</w:t>
            </w:r>
          </w:p>
        </w:tc>
        <w:tc>
          <w:tcPr>
            <w:tcW w:w="1389" w:type="dxa"/>
            <w:tcBorders>
              <w:top w:val="single" w:sz="4" w:space="0" w:color="auto"/>
            </w:tcBorders>
            <w:vAlign w:val="center"/>
          </w:tcPr>
          <w:p w14:paraId="41FE4D72" w14:textId="77777777" w:rsidR="00402F98" w:rsidRPr="00DB5616" w:rsidRDefault="00402F98" w:rsidP="000B288C">
            <w:pPr>
              <w:spacing w:after="0" w:line="240" w:lineRule="auto"/>
              <w:jc w:val="center"/>
              <w:rPr>
                <w:rFonts w:asciiTheme="minorHAnsi" w:hAnsiTheme="minorHAnsi"/>
                <w:sz w:val="22"/>
              </w:rPr>
            </w:pPr>
            <w:r w:rsidRPr="00DB5616">
              <w:rPr>
                <w:rFonts w:asciiTheme="minorHAnsi" w:hAnsiTheme="minorHAnsi"/>
                <w:b/>
                <w:bCs/>
                <w:noProof/>
                <w:color w:val="002060"/>
                <w:sz w:val="22"/>
              </w:rPr>
              <w:drawing>
                <wp:inline distT="0" distB="0" distL="0" distR="0" wp14:anchorId="755D6D86" wp14:editId="1C3FAA70">
                  <wp:extent cx="230588" cy="230588"/>
                  <wp:effectExtent l="0" t="0" r="0" b="0"/>
                  <wp:docPr id="784945312" name="Picture 78494531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402F98" w:rsidRPr="00DB5616" w14:paraId="47BF0CD5" w14:textId="77777777" w:rsidTr="000B288C">
        <w:tc>
          <w:tcPr>
            <w:tcW w:w="9067" w:type="dxa"/>
            <w:tcBorders>
              <w:top w:val="single" w:sz="4" w:space="0" w:color="auto"/>
              <w:left w:val="single" w:sz="4" w:space="0" w:color="auto"/>
            </w:tcBorders>
            <w:vAlign w:val="center"/>
          </w:tcPr>
          <w:p w14:paraId="672DABB7" w14:textId="77777777" w:rsidR="00402F98" w:rsidRPr="00DB5616" w:rsidRDefault="00402F98" w:rsidP="000B288C">
            <w:pPr>
              <w:spacing w:after="0" w:line="240" w:lineRule="auto"/>
              <w:jc w:val="left"/>
              <w:rPr>
                <w:rFonts w:asciiTheme="minorHAnsi" w:hAnsiTheme="minorHAnsi"/>
                <w:sz w:val="22"/>
              </w:rPr>
            </w:pPr>
            <w:r w:rsidRPr="00DB5616">
              <w:rPr>
                <w:rFonts w:asciiTheme="minorHAnsi" w:hAnsiTheme="minorHAnsi"/>
                <w:sz w:val="22"/>
              </w:rPr>
              <w:t>6 – Soutien par le biais d’instruments financiers : bonifications d’intérêt, contributions aux primes de garantie, soutien technique ou équivalent</w:t>
            </w:r>
          </w:p>
        </w:tc>
        <w:tc>
          <w:tcPr>
            <w:tcW w:w="1389" w:type="dxa"/>
            <w:tcBorders>
              <w:top w:val="single" w:sz="4" w:space="0" w:color="auto"/>
            </w:tcBorders>
            <w:vAlign w:val="center"/>
          </w:tcPr>
          <w:p w14:paraId="5E218A2F" w14:textId="77777777" w:rsidR="00402F98" w:rsidRPr="00DB5616" w:rsidRDefault="00402F98" w:rsidP="000B288C">
            <w:pPr>
              <w:spacing w:after="0" w:line="240" w:lineRule="auto"/>
              <w:jc w:val="center"/>
              <w:rPr>
                <w:rFonts w:asciiTheme="minorHAnsi" w:hAnsiTheme="minorHAnsi"/>
                <w:sz w:val="22"/>
              </w:rPr>
            </w:pPr>
            <w:r w:rsidRPr="00DB5616">
              <w:rPr>
                <w:rFonts w:asciiTheme="minorHAnsi" w:hAnsiTheme="minorHAnsi"/>
                <w:b/>
                <w:bCs/>
                <w:noProof/>
                <w:color w:val="002060"/>
                <w:sz w:val="22"/>
              </w:rPr>
              <w:drawing>
                <wp:inline distT="0" distB="0" distL="0" distR="0" wp14:anchorId="517A4ECC" wp14:editId="5C2DC638">
                  <wp:extent cx="230588" cy="230588"/>
                  <wp:effectExtent l="0" t="0" r="0" b="0"/>
                  <wp:docPr id="784945313" name="Picture 78494531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075C2677" w14:textId="77777777" w:rsidR="00402F98" w:rsidRPr="00DB5616" w:rsidRDefault="00402F98" w:rsidP="00402F98">
      <w:pPr>
        <w:spacing w:after="0" w:line="240" w:lineRule="auto"/>
        <w:rPr>
          <w:rFonts w:asciiTheme="minorHAnsi" w:hAnsiTheme="minorHAnsi"/>
          <w:sz w:val="22"/>
        </w:rPr>
      </w:pPr>
    </w:p>
    <w:p w14:paraId="753C69F6" w14:textId="77777777" w:rsidR="00402F98" w:rsidRPr="00DB5616" w:rsidRDefault="00402F98" w:rsidP="00402F98">
      <w:pPr>
        <w:shd w:val="clear" w:color="auto" w:fill="D9D9D9" w:themeFill="background1" w:themeFillShade="D9"/>
        <w:spacing w:after="0" w:line="240" w:lineRule="auto"/>
        <w:rPr>
          <w:rFonts w:asciiTheme="minorHAnsi" w:hAnsiTheme="minorHAnsi"/>
          <w:b/>
          <w:bCs/>
          <w:sz w:val="28"/>
          <w:szCs w:val="28"/>
        </w:rPr>
      </w:pPr>
      <w:r w:rsidRPr="00DB5616">
        <w:rPr>
          <w:rFonts w:asciiTheme="minorHAnsi" w:hAnsiTheme="minorHAnsi"/>
          <w:b/>
          <w:bCs/>
          <w:color w:val="FFFFFF" w:themeColor="background1"/>
          <w:sz w:val="28"/>
          <w:szCs w:val="28"/>
          <w:shd w:val="clear" w:color="auto" w:fill="A5A5A5" w:themeFill="accent3"/>
        </w:rPr>
        <w:t xml:space="preserve">ADMINISTRATION </w:t>
      </w:r>
      <w:r w:rsidRPr="00DB5616">
        <w:rPr>
          <w:rFonts w:asciiTheme="minorHAnsi" w:hAnsiTheme="minorHAnsi"/>
          <w:b/>
          <w:bCs/>
          <w:sz w:val="28"/>
          <w:szCs w:val="28"/>
        </w:rPr>
        <w:t xml:space="preserve">  </w:t>
      </w:r>
      <w:r w:rsidRPr="00DB5616">
        <w:rPr>
          <w:rFonts w:asciiTheme="minorHAnsi" w:hAnsiTheme="minorHAnsi"/>
          <w:b/>
          <w:bCs/>
          <w:color w:val="002060"/>
          <w:sz w:val="28"/>
          <w:szCs w:val="28"/>
        </w:rPr>
        <w:t>Partie réservée à l’administration</w:t>
      </w:r>
    </w:p>
    <w:p w14:paraId="29B9EE31" w14:textId="77777777" w:rsidR="00402F98" w:rsidRPr="00DB5616" w:rsidRDefault="00402F98" w:rsidP="00402F98">
      <w:pPr>
        <w:spacing w:after="0" w:line="240" w:lineRule="auto"/>
        <w:rPr>
          <w:rFonts w:asciiTheme="minorHAnsi" w:hAnsiTheme="minorHAnsi"/>
          <w:sz w:val="22"/>
        </w:rPr>
      </w:pPr>
    </w:p>
    <w:p w14:paraId="5CF38FF6" w14:textId="77777777" w:rsidR="00402F98" w:rsidRPr="00DB5616" w:rsidRDefault="00402F98" w:rsidP="00402F98">
      <w:pPr>
        <w:spacing w:after="0" w:line="240" w:lineRule="auto"/>
        <w:rPr>
          <w:rFonts w:asciiTheme="minorHAnsi" w:hAnsiTheme="minorHAnsi"/>
          <w:sz w:val="22"/>
        </w:rPr>
      </w:pPr>
      <w:r w:rsidRPr="00DB5616">
        <w:rPr>
          <w:rFonts w:asciiTheme="minorHAnsi" w:hAnsiTheme="minorHAnsi"/>
          <w:b/>
          <w:bCs/>
          <w:color w:val="002060"/>
          <w:sz w:val="22"/>
        </w:rPr>
        <w:t>Service instructeur :</w:t>
      </w:r>
      <w:r w:rsidRPr="00DB5616">
        <w:rPr>
          <w:rFonts w:asciiTheme="minorHAnsi" w:hAnsiTheme="minorHAnsi"/>
          <w:sz w:val="22"/>
        </w:rPr>
        <w:t xml:space="preserve"> service PO FEDER-FSE – Direction Europe et International – Conseil régional Centre-Val de Loire</w:t>
      </w:r>
    </w:p>
    <w:p w14:paraId="06E6B91F" w14:textId="77777777" w:rsidR="00402F98" w:rsidRPr="00DB5616" w:rsidRDefault="00402F98" w:rsidP="00402F98">
      <w:pPr>
        <w:spacing w:after="0" w:line="240" w:lineRule="auto"/>
        <w:rPr>
          <w:rFonts w:asciiTheme="minorHAnsi" w:hAnsiTheme="minorHAnsi"/>
          <w:b/>
          <w:bCs/>
          <w:color w:val="002060"/>
          <w:sz w:val="22"/>
        </w:rPr>
      </w:pPr>
    </w:p>
    <w:p w14:paraId="5C588B30" w14:textId="77777777" w:rsidR="00402F98" w:rsidRPr="00DB5616" w:rsidRDefault="00402F98" w:rsidP="00402F98">
      <w:pPr>
        <w:spacing w:after="0" w:line="240" w:lineRule="auto"/>
        <w:rPr>
          <w:rFonts w:asciiTheme="minorHAnsi" w:hAnsiTheme="minorHAnsi"/>
          <w:b/>
          <w:bCs/>
          <w:sz w:val="22"/>
        </w:rPr>
      </w:pPr>
      <w:r w:rsidRPr="00DB5616">
        <w:rPr>
          <w:rFonts w:asciiTheme="minorHAnsi" w:hAnsiTheme="minorHAnsi"/>
          <w:b/>
          <w:bCs/>
          <w:color w:val="002060"/>
          <w:sz w:val="22"/>
        </w:rPr>
        <w:t>Services et organismes consultés pour avis :</w:t>
      </w:r>
      <w:r w:rsidRPr="00DB5616">
        <w:rPr>
          <w:rFonts w:asciiTheme="minorHAnsi" w:hAnsiTheme="minorHAnsi"/>
          <w:b/>
          <w:bCs/>
          <w:sz w:val="22"/>
        </w:rPr>
        <w:t xml:space="preserve"> </w:t>
      </w:r>
    </w:p>
    <w:p w14:paraId="4BE0A1BB" w14:textId="77777777" w:rsidR="00402F98" w:rsidRPr="00DB5616" w:rsidRDefault="00402F98" w:rsidP="00402F98">
      <w:pPr>
        <w:numPr>
          <w:ilvl w:val="0"/>
          <w:numId w:val="1"/>
        </w:numPr>
        <w:spacing w:after="0" w:line="240" w:lineRule="auto"/>
        <w:jc w:val="left"/>
        <w:rPr>
          <w:rFonts w:asciiTheme="minorHAnsi" w:hAnsiTheme="minorHAnsi"/>
          <w:sz w:val="22"/>
        </w:rPr>
      </w:pPr>
      <w:r w:rsidRPr="00DB5616">
        <w:rPr>
          <w:rFonts w:asciiTheme="minorHAnsi" w:hAnsiTheme="minorHAnsi"/>
          <w:sz w:val="22"/>
        </w:rPr>
        <w:t>Direction de l’Environnement et de la Transition Energétique (DETE) – Conseil régional Centre-Val de Loire,</w:t>
      </w:r>
    </w:p>
    <w:p w14:paraId="03A94EFD" w14:textId="77777777" w:rsidR="00402F98" w:rsidRPr="00DB5616" w:rsidRDefault="00402F98" w:rsidP="00402F98">
      <w:pPr>
        <w:spacing w:after="0" w:line="240" w:lineRule="auto"/>
        <w:ind w:left="720"/>
        <w:rPr>
          <w:rFonts w:asciiTheme="minorHAnsi" w:hAnsiTheme="minorHAnsi"/>
          <w:sz w:val="22"/>
        </w:rPr>
      </w:pPr>
    </w:p>
    <w:p w14:paraId="11480167" w14:textId="77777777" w:rsidR="00402F98" w:rsidRPr="00DB5616" w:rsidRDefault="00402F98" w:rsidP="00402F98">
      <w:pPr>
        <w:spacing w:after="0" w:line="240" w:lineRule="auto"/>
        <w:rPr>
          <w:rFonts w:asciiTheme="minorHAnsi" w:hAnsiTheme="minorHAnsi"/>
          <w:sz w:val="22"/>
        </w:rPr>
      </w:pPr>
      <w:r w:rsidRPr="00DB5616">
        <w:rPr>
          <w:rFonts w:asciiTheme="minorHAnsi" w:hAnsiTheme="minorHAnsi"/>
          <w:b/>
          <w:bCs/>
          <w:color w:val="002060"/>
          <w:sz w:val="22"/>
        </w:rPr>
        <w:t>Organismes à consulter pour information :</w:t>
      </w:r>
      <w:r w:rsidRPr="00DB5616">
        <w:rPr>
          <w:rFonts w:asciiTheme="minorHAnsi" w:hAnsiTheme="minorHAnsi"/>
          <w:color w:val="002060"/>
          <w:sz w:val="22"/>
        </w:rPr>
        <w:t xml:space="preserve"> </w:t>
      </w:r>
      <w:r w:rsidRPr="00DB5616">
        <w:rPr>
          <w:rFonts w:asciiTheme="minorHAnsi" w:hAnsiTheme="minorHAnsi"/>
          <w:sz w:val="22"/>
        </w:rPr>
        <w:t>Sans objet</w:t>
      </w:r>
    </w:p>
    <w:p w14:paraId="126A7675" w14:textId="77777777" w:rsidR="00402F98" w:rsidRPr="00DB5616" w:rsidRDefault="00402F98" w:rsidP="00402F98">
      <w:pPr>
        <w:spacing w:after="0" w:line="240" w:lineRule="auto"/>
        <w:rPr>
          <w:rFonts w:asciiTheme="minorHAnsi" w:hAnsiTheme="minorHAnsi"/>
          <w:sz w:val="22"/>
        </w:rPr>
      </w:pPr>
    </w:p>
    <w:p w14:paraId="194F1629" w14:textId="77777777" w:rsidR="00402F98" w:rsidRPr="00DB5616" w:rsidRDefault="00402F98" w:rsidP="00402F98">
      <w:pPr>
        <w:shd w:val="clear" w:color="auto" w:fill="D9D9D9" w:themeFill="background1" w:themeFillShade="D9"/>
        <w:spacing w:after="0" w:line="240" w:lineRule="auto"/>
        <w:rPr>
          <w:rFonts w:asciiTheme="minorHAnsi" w:hAnsiTheme="minorHAnsi"/>
          <w:b/>
          <w:bCs/>
          <w:sz w:val="28"/>
          <w:szCs w:val="28"/>
        </w:rPr>
      </w:pPr>
      <w:r w:rsidRPr="00DB5616">
        <w:rPr>
          <w:rFonts w:asciiTheme="minorHAnsi" w:hAnsiTheme="minorHAnsi"/>
          <w:b/>
          <w:bCs/>
          <w:color w:val="FFFFFF" w:themeColor="background1"/>
          <w:sz w:val="28"/>
          <w:szCs w:val="28"/>
          <w:shd w:val="clear" w:color="auto" w:fill="A5A5A5" w:themeFill="accent3"/>
        </w:rPr>
        <w:t xml:space="preserve">ADMINISTRATION </w:t>
      </w:r>
      <w:r w:rsidRPr="00DB5616">
        <w:rPr>
          <w:rFonts w:asciiTheme="minorHAnsi" w:hAnsiTheme="minorHAnsi"/>
          <w:b/>
          <w:bCs/>
          <w:sz w:val="28"/>
          <w:szCs w:val="28"/>
        </w:rPr>
        <w:t xml:space="preserve">  </w:t>
      </w:r>
      <w:r w:rsidRPr="00DB5616">
        <w:rPr>
          <w:rFonts w:asciiTheme="minorHAnsi" w:hAnsiTheme="minorHAnsi"/>
          <w:b/>
          <w:bCs/>
          <w:color w:val="002060"/>
          <w:sz w:val="28"/>
          <w:szCs w:val="28"/>
        </w:rPr>
        <w:t>Catégories d’intervention</w:t>
      </w:r>
    </w:p>
    <w:p w14:paraId="0A11EA74" w14:textId="77777777" w:rsidR="00402F98" w:rsidRPr="00DB5616" w:rsidRDefault="00402F98" w:rsidP="00402F98">
      <w:pPr>
        <w:spacing w:after="0" w:line="240" w:lineRule="auto"/>
        <w:rPr>
          <w:rFonts w:asciiTheme="minorHAnsi" w:hAnsiTheme="minorHAnsi"/>
          <w:sz w:val="22"/>
        </w:rPr>
      </w:pPr>
    </w:p>
    <w:tbl>
      <w:tblPr>
        <w:tblStyle w:val="Grilledutableau"/>
        <w:tblW w:w="0" w:type="auto"/>
        <w:tblLook w:val="04A0" w:firstRow="1" w:lastRow="0" w:firstColumn="1" w:lastColumn="0" w:noHBand="0" w:noVBand="1"/>
      </w:tblPr>
      <w:tblGrid>
        <w:gridCol w:w="3256"/>
        <w:gridCol w:w="7200"/>
      </w:tblGrid>
      <w:tr w:rsidR="00402F98" w:rsidRPr="00DB5616" w14:paraId="103199E0" w14:textId="77777777" w:rsidTr="000B288C">
        <w:tc>
          <w:tcPr>
            <w:tcW w:w="3256" w:type="dxa"/>
            <w:vAlign w:val="center"/>
          </w:tcPr>
          <w:p w14:paraId="6C5C2986" w14:textId="77777777" w:rsidR="00402F98" w:rsidRPr="00DB5616" w:rsidRDefault="00402F98" w:rsidP="000B288C">
            <w:pPr>
              <w:spacing w:after="0" w:line="240" w:lineRule="auto"/>
              <w:jc w:val="left"/>
              <w:rPr>
                <w:rFonts w:asciiTheme="minorHAnsi" w:hAnsiTheme="minorHAnsi"/>
                <w:b/>
                <w:bCs/>
                <w:color w:val="002060"/>
                <w:szCs w:val="20"/>
              </w:rPr>
            </w:pPr>
            <w:r w:rsidRPr="00DB5616">
              <w:rPr>
                <w:rFonts w:asciiTheme="minorHAnsi" w:hAnsiTheme="minorHAnsi"/>
                <w:b/>
                <w:bCs/>
                <w:color w:val="002060"/>
                <w:szCs w:val="20"/>
              </w:rPr>
              <w:t>Domaine d’intervention</w:t>
            </w:r>
          </w:p>
        </w:tc>
        <w:tc>
          <w:tcPr>
            <w:tcW w:w="7200" w:type="dxa"/>
            <w:vAlign w:val="center"/>
          </w:tcPr>
          <w:p w14:paraId="26B1DB2A" w14:textId="77777777" w:rsidR="00402F98" w:rsidRPr="00DB5616" w:rsidRDefault="00402F98" w:rsidP="000B288C">
            <w:pPr>
              <w:spacing w:after="0" w:line="240" w:lineRule="auto"/>
              <w:jc w:val="left"/>
              <w:rPr>
                <w:rFonts w:asciiTheme="minorHAnsi" w:hAnsiTheme="minorHAnsi"/>
                <w:szCs w:val="20"/>
              </w:rPr>
            </w:pPr>
            <w:r w:rsidRPr="00DB5616">
              <w:rPr>
                <w:rFonts w:asciiTheme="minorHAnsi" w:hAnsiTheme="minorHAnsi"/>
                <w:szCs w:val="20"/>
              </w:rPr>
              <w:t>052- Autres types d'énergies renouvelables (y compris l'énergie géothermique)</w:t>
            </w:r>
          </w:p>
        </w:tc>
      </w:tr>
      <w:tr w:rsidR="00402F98" w:rsidRPr="00DB5616" w14:paraId="161EA120" w14:textId="77777777" w:rsidTr="000B288C">
        <w:tc>
          <w:tcPr>
            <w:tcW w:w="3256" w:type="dxa"/>
            <w:vAlign w:val="center"/>
          </w:tcPr>
          <w:p w14:paraId="59E8E204" w14:textId="77777777" w:rsidR="00402F98" w:rsidRPr="00DB5616" w:rsidRDefault="00402F98" w:rsidP="000B288C">
            <w:pPr>
              <w:spacing w:after="0" w:line="240" w:lineRule="auto"/>
              <w:jc w:val="left"/>
              <w:rPr>
                <w:rFonts w:asciiTheme="minorHAnsi" w:hAnsiTheme="minorHAnsi"/>
                <w:b/>
                <w:bCs/>
                <w:color w:val="002060"/>
                <w:szCs w:val="20"/>
              </w:rPr>
            </w:pPr>
            <w:r w:rsidRPr="00DB5616">
              <w:rPr>
                <w:rFonts w:asciiTheme="minorHAnsi" w:hAnsiTheme="minorHAnsi"/>
                <w:b/>
                <w:bCs/>
                <w:color w:val="002060"/>
                <w:szCs w:val="20"/>
              </w:rPr>
              <w:t>Forme de financement</w:t>
            </w:r>
          </w:p>
        </w:tc>
        <w:tc>
          <w:tcPr>
            <w:tcW w:w="7200" w:type="dxa"/>
            <w:vAlign w:val="center"/>
          </w:tcPr>
          <w:p w14:paraId="5633A3C5" w14:textId="77777777" w:rsidR="00402F98" w:rsidRPr="00DB5616" w:rsidRDefault="00402F98" w:rsidP="000B288C">
            <w:pPr>
              <w:spacing w:after="0" w:line="240" w:lineRule="auto"/>
              <w:jc w:val="left"/>
              <w:rPr>
                <w:rFonts w:asciiTheme="minorHAnsi" w:hAnsiTheme="minorHAnsi"/>
                <w:szCs w:val="20"/>
              </w:rPr>
            </w:pPr>
            <w:r w:rsidRPr="00DB5616">
              <w:rPr>
                <w:rFonts w:asciiTheme="minorHAnsi" w:hAnsiTheme="minorHAnsi"/>
                <w:szCs w:val="20"/>
              </w:rPr>
              <w:t>01 Subvention</w:t>
            </w:r>
          </w:p>
        </w:tc>
      </w:tr>
      <w:tr w:rsidR="00402F98" w:rsidRPr="00DB5616" w14:paraId="59A038A0" w14:textId="77777777" w:rsidTr="000B288C">
        <w:tc>
          <w:tcPr>
            <w:tcW w:w="3256" w:type="dxa"/>
            <w:vAlign w:val="center"/>
          </w:tcPr>
          <w:p w14:paraId="3017F2F6" w14:textId="77777777" w:rsidR="00402F98" w:rsidRPr="00DB5616" w:rsidRDefault="00402F98" w:rsidP="000B288C">
            <w:pPr>
              <w:spacing w:after="0" w:line="240" w:lineRule="auto"/>
              <w:jc w:val="left"/>
              <w:rPr>
                <w:rFonts w:asciiTheme="minorHAnsi" w:hAnsiTheme="minorHAnsi"/>
                <w:b/>
                <w:bCs/>
                <w:color w:val="002060"/>
                <w:szCs w:val="20"/>
              </w:rPr>
            </w:pPr>
            <w:r w:rsidRPr="00DB5616">
              <w:rPr>
                <w:rFonts w:asciiTheme="minorHAnsi" w:hAnsiTheme="minorHAnsi"/>
                <w:b/>
                <w:bCs/>
                <w:color w:val="002060"/>
                <w:szCs w:val="20"/>
              </w:rPr>
              <w:t>Mécanisme d’application territorial et approche territoriale</w:t>
            </w:r>
          </w:p>
        </w:tc>
        <w:tc>
          <w:tcPr>
            <w:tcW w:w="7200" w:type="dxa"/>
            <w:vAlign w:val="center"/>
          </w:tcPr>
          <w:p w14:paraId="21D092E6" w14:textId="77777777" w:rsidR="00402F98" w:rsidRPr="00DB5616" w:rsidRDefault="00402F98" w:rsidP="000B288C">
            <w:pPr>
              <w:spacing w:after="0" w:line="240" w:lineRule="auto"/>
              <w:jc w:val="left"/>
              <w:rPr>
                <w:rFonts w:asciiTheme="minorHAnsi" w:hAnsiTheme="minorHAnsi"/>
                <w:szCs w:val="20"/>
              </w:rPr>
            </w:pPr>
            <w:r w:rsidRPr="00DB5616">
              <w:rPr>
                <w:rFonts w:asciiTheme="minorHAnsi" w:hAnsiTheme="minorHAnsi"/>
                <w:szCs w:val="20"/>
              </w:rPr>
              <w:t>33 Autres approches - Pas de ciblage géographique</w:t>
            </w:r>
          </w:p>
        </w:tc>
      </w:tr>
      <w:tr w:rsidR="00402F98" w:rsidRPr="00DB5616" w14:paraId="73A38E90" w14:textId="77777777" w:rsidTr="000B288C">
        <w:tc>
          <w:tcPr>
            <w:tcW w:w="3256" w:type="dxa"/>
            <w:vAlign w:val="center"/>
          </w:tcPr>
          <w:p w14:paraId="72A93F5E" w14:textId="77777777" w:rsidR="00402F98" w:rsidRPr="00DB5616" w:rsidRDefault="00402F98" w:rsidP="000B288C">
            <w:pPr>
              <w:spacing w:after="0" w:line="240" w:lineRule="auto"/>
              <w:jc w:val="left"/>
              <w:rPr>
                <w:rFonts w:asciiTheme="minorHAnsi" w:hAnsiTheme="minorHAnsi"/>
                <w:b/>
                <w:bCs/>
                <w:color w:val="002060"/>
                <w:szCs w:val="20"/>
              </w:rPr>
            </w:pPr>
            <w:r w:rsidRPr="00DB5616">
              <w:rPr>
                <w:rFonts w:asciiTheme="minorHAnsi" w:hAnsiTheme="minorHAnsi"/>
                <w:b/>
                <w:bCs/>
                <w:color w:val="002060"/>
                <w:szCs w:val="20"/>
              </w:rPr>
              <w:t>Egalité entre les hommes et les femmes</w:t>
            </w:r>
          </w:p>
        </w:tc>
        <w:tc>
          <w:tcPr>
            <w:tcW w:w="7200" w:type="dxa"/>
            <w:vAlign w:val="center"/>
          </w:tcPr>
          <w:p w14:paraId="61F0F2E8" w14:textId="77777777" w:rsidR="00402F98" w:rsidRPr="00DB5616" w:rsidRDefault="00402F98" w:rsidP="000B288C">
            <w:pPr>
              <w:spacing w:after="0" w:line="240" w:lineRule="auto"/>
              <w:jc w:val="left"/>
              <w:rPr>
                <w:rFonts w:asciiTheme="minorHAnsi" w:hAnsiTheme="minorHAnsi"/>
                <w:szCs w:val="20"/>
              </w:rPr>
            </w:pPr>
            <w:r w:rsidRPr="00DB5616">
              <w:rPr>
                <w:rFonts w:asciiTheme="minorHAnsi" w:hAnsiTheme="minorHAnsi"/>
                <w:szCs w:val="20"/>
              </w:rPr>
              <w:t>03 Neutralité du point de vue de l’égalité entre les hommes et les femmes</w:t>
            </w:r>
          </w:p>
        </w:tc>
      </w:tr>
    </w:tbl>
    <w:p w14:paraId="64A113CF" w14:textId="77777777" w:rsidR="00402F98" w:rsidRPr="00DB5616" w:rsidRDefault="00402F98" w:rsidP="00402F98">
      <w:pPr>
        <w:spacing w:after="0" w:line="240" w:lineRule="auto"/>
        <w:rPr>
          <w:rFonts w:asciiTheme="minorHAnsi" w:hAnsiTheme="minorHAnsi"/>
          <w:sz w:val="22"/>
        </w:rPr>
      </w:pPr>
      <w:r w:rsidRPr="00DB5616">
        <w:rPr>
          <w:rFonts w:asciiTheme="minorHAnsi" w:hAnsiTheme="minorHAnsi"/>
          <w:sz w:val="22"/>
        </w:rPr>
        <w:t xml:space="preserve"> </w:t>
      </w:r>
    </w:p>
    <w:p w14:paraId="1281E2D0" w14:textId="77777777" w:rsidR="00402F98" w:rsidRPr="00DB5616" w:rsidRDefault="00402F98" w:rsidP="00402F98">
      <w:pPr>
        <w:shd w:val="clear" w:color="auto" w:fill="B7ECFF"/>
        <w:spacing w:after="0" w:line="240" w:lineRule="auto"/>
        <w:rPr>
          <w:rFonts w:asciiTheme="minorHAnsi" w:hAnsiTheme="minorHAnsi"/>
          <w:b/>
          <w:bCs/>
          <w:sz w:val="28"/>
          <w:szCs w:val="28"/>
        </w:rPr>
      </w:pPr>
      <w:r w:rsidRPr="00DB5616">
        <w:rPr>
          <w:rFonts w:asciiTheme="minorHAnsi" w:hAnsiTheme="minorHAnsi"/>
          <w:b/>
          <w:bCs/>
          <w:color w:val="FFFFFF" w:themeColor="background1"/>
          <w:sz w:val="28"/>
          <w:szCs w:val="28"/>
          <w:shd w:val="clear" w:color="auto" w:fill="00B0F0"/>
        </w:rPr>
        <w:t xml:space="preserve">CONTACT  </w:t>
      </w:r>
      <w:r w:rsidRPr="00DB5616">
        <w:rPr>
          <w:rFonts w:asciiTheme="minorHAnsi" w:hAnsiTheme="minorHAnsi"/>
          <w:b/>
          <w:bCs/>
          <w:sz w:val="28"/>
          <w:szCs w:val="28"/>
        </w:rPr>
        <w:t xml:space="preserve"> </w:t>
      </w:r>
      <w:r w:rsidRPr="00DB5616">
        <w:rPr>
          <w:rFonts w:asciiTheme="minorHAnsi" w:hAnsiTheme="minorHAnsi"/>
          <w:b/>
          <w:bCs/>
          <w:color w:val="002060"/>
          <w:sz w:val="28"/>
          <w:szCs w:val="28"/>
        </w:rPr>
        <w:t>Service(s) en charge de l’instruction des dossiers</w:t>
      </w:r>
    </w:p>
    <w:p w14:paraId="1BE70DA5" w14:textId="77777777" w:rsidR="00402F98" w:rsidRPr="00DB5616" w:rsidRDefault="00402F98" w:rsidP="00402F98">
      <w:pPr>
        <w:spacing w:after="0" w:line="240" w:lineRule="auto"/>
        <w:rPr>
          <w:rFonts w:asciiTheme="minorHAnsi" w:hAnsiTheme="minorHAnsi"/>
          <w:sz w:val="22"/>
        </w:rPr>
      </w:pPr>
    </w:p>
    <w:p w14:paraId="0A0342BE" w14:textId="77777777" w:rsidR="00402F98" w:rsidRPr="00DB5616" w:rsidRDefault="00402F98" w:rsidP="00402F98">
      <w:pPr>
        <w:spacing w:after="0" w:line="240" w:lineRule="auto"/>
        <w:rPr>
          <w:rFonts w:asciiTheme="minorHAnsi" w:hAnsiTheme="minorHAnsi"/>
          <w:sz w:val="22"/>
        </w:rPr>
      </w:pPr>
      <w:r w:rsidRPr="00DB5616">
        <w:rPr>
          <w:rFonts w:asciiTheme="minorHAnsi" w:hAnsiTheme="minorHAnsi"/>
          <w:b/>
          <w:bCs/>
          <w:color w:val="002060"/>
          <w:sz w:val="22"/>
        </w:rPr>
        <w:t>Contact :</w:t>
      </w:r>
      <w:r w:rsidRPr="00DB5616">
        <w:rPr>
          <w:rFonts w:asciiTheme="minorHAnsi" w:hAnsiTheme="minorHAnsi"/>
          <w:sz w:val="22"/>
        </w:rPr>
        <w:t xml:space="preserve"> Conseil régional Centre-Val de Loire, Direction Europe et International, </w:t>
      </w:r>
      <w:r w:rsidRPr="00FE0993">
        <w:rPr>
          <w:rFonts w:asciiTheme="minorHAnsi" w:hAnsiTheme="minorHAnsi"/>
          <w:sz w:val="22"/>
        </w:rPr>
        <w:t>Service Programmation des Fonds européens FEDER FSE+</w:t>
      </w:r>
    </w:p>
    <w:p w14:paraId="3A2437A9" w14:textId="77777777" w:rsidR="00402F98" w:rsidRDefault="00402F98" w:rsidP="00402F98">
      <w:pPr>
        <w:pStyle w:val="Sansinterligne"/>
        <w:jc w:val="both"/>
      </w:pPr>
      <w:r>
        <w:rPr>
          <w:noProof/>
        </w:rPr>
        <w:drawing>
          <wp:inline distT="0" distB="0" distL="0" distR="0" wp14:anchorId="631A3193" wp14:editId="7EECCF6E">
            <wp:extent cx="204826" cy="204826"/>
            <wp:effectExtent l="0" t="0" r="5080" b="5080"/>
            <wp:docPr id="784945763" name="Picture 784945763"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p w14:paraId="1A78108F" w14:textId="77777777" w:rsidR="00402F98" w:rsidRPr="00DB5616" w:rsidRDefault="00402F98" w:rsidP="00402F98">
      <w:pPr>
        <w:spacing w:after="0" w:line="240" w:lineRule="auto"/>
        <w:rPr>
          <w:rFonts w:asciiTheme="minorHAnsi" w:hAnsiTheme="minorHAnsi"/>
          <w:color w:val="FF0000"/>
          <w:sz w:val="22"/>
        </w:rPr>
      </w:pPr>
    </w:p>
    <w:p w14:paraId="35D51BFF" w14:textId="77777777" w:rsidR="00370695" w:rsidRDefault="00370695" w:rsidP="000E1C19">
      <w:pPr>
        <w:rPr>
          <w:rFonts w:ascii="Calibri" w:hAnsi="Calibri" w:cs="Calibri"/>
        </w:rPr>
      </w:pPr>
    </w:p>
    <w:sectPr w:rsidR="00370695"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2E0B" w14:textId="77777777" w:rsidR="00314B76" w:rsidRDefault="00314B76" w:rsidP="00314B76">
      <w:pPr>
        <w:spacing w:after="0" w:line="240" w:lineRule="auto"/>
      </w:pPr>
      <w:r>
        <w:separator/>
      </w:r>
    </w:p>
  </w:endnote>
  <w:endnote w:type="continuationSeparator" w:id="0">
    <w:p w14:paraId="1CC69BB7" w14:textId="77777777" w:rsidR="00314B76" w:rsidRDefault="00314B76"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EBD5" w14:textId="77777777" w:rsidR="00314B76" w:rsidRDefault="00314B76" w:rsidP="00314B76">
      <w:pPr>
        <w:spacing w:after="0" w:line="240" w:lineRule="auto"/>
      </w:pPr>
      <w:r>
        <w:separator/>
      </w:r>
    </w:p>
  </w:footnote>
  <w:footnote w:type="continuationSeparator" w:id="0">
    <w:p w14:paraId="7797801A" w14:textId="77777777" w:rsidR="00314B76" w:rsidRDefault="00314B76"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956"/>
    <w:multiLevelType w:val="hybridMultilevel"/>
    <w:tmpl w:val="FF6A166E"/>
    <w:lvl w:ilvl="0" w:tplc="C518DC98">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B5B640C"/>
    <w:multiLevelType w:val="hybridMultilevel"/>
    <w:tmpl w:val="B374014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040FE2"/>
    <w:multiLevelType w:val="hybridMultilevel"/>
    <w:tmpl w:val="2506D4A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4B59B5"/>
    <w:multiLevelType w:val="hybridMultilevel"/>
    <w:tmpl w:val="9EDE1F5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8BA1579"/>
    <w:multiLevelType w:val="hybridMultilevel"/>
    <w:tmpl w:val="062C2F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1865CB"/>
    <w:multiLevelType w:val="hybridMultilevel"/>
    <w:tmpl w:val="C08A131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1E2DC1"/>
    <w:multiLevelType w:val="hybridMultilevel"/>
    <w:tmpl w:val="1D603AD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A567A5"/>
    <w:multiLevelType w:val="hybridMultilevel"/>
    <w:tmpl w:val="C33420C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FA0FA0"/>
    <w:multiLevelType w:val="hybridMultilevel"/>
    <w:tmpl w:val="3D7E6F1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3B916852"/>
    <w:multiLevelType w:val="hybridMultilevel"/>
    <w:tmpl w:val="B32C0B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617A6B"/>
    <w:multiLevelType w:val="hybridMultilevel"/>
    <w:tmpl w:val="754AFB3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256F63"/>
    <w:multiLevelType w:val="hybridMultilevel"/>
    <w:tmpl w:val="D8E08E4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8500EE"/>
    <w:multiLevelType w:val="hybridMultilevel"/>
    <w:tmpl w:val="C8F046E4"/>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5E22144C"/>
    <w:multiLevelType w:val="hybridMultilevel"/>
    <w:tmpl w:val="A1A844E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80586F"/>
    <w:multiLevelType w:val="hybridMultilevel"/>
    <w:tmpl w:val="A3C2C36C"/>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8B332D"/>
    <w:multiLevelType w:val="hybridMultilevel"/>
    <w:tmpl w:val="25D4AA9C"/>
    <w:lvl w:ilvl="0" w:tplc="8814CE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A3534A7"/>
    <w:multiLevelType w:val="hybridMultilevel"/>
    <w:tmpl w:val="56821BA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783F6263"/>
    <w:multiLevelType w:val="hybridMultilevel"/>
    <w:tmpl w:val="360E22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91E35AD"/>
    <w:multiLevelType w:val="multilevel"/>
    <w:tmpl w:val="244E1B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9F04A0C"/>
    <w:multiLevelType w:val="hybridMultilevel"/>
    <w:tmpl w:val="00AC3B66"/>
    <w:lvl w:ilvl="0" w:tplc="F4CE1A86">
      <w:numFmt w:val="bullet"/>
      <w:lvlText w:val="-"/>
      <w:lvlJc w:val="left"/>
      <w:pPr>
        <w:ind w:left="720" w:hanging="360"/>
      </w:pPr>
      <w:rPr>
        <w:rFonts w:ascii="Verdana" w:eastAsia="Tahoma" w:hAnsi="Verdana" w:cs="Tahoma"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AD0ED7"/>
    <w:multiLevelType w:val="hybridMultilevel"/>
    <w:tmpl w:val="38D4A2D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477162"/>
    <w:multiLevelType w:val="hybridMultilevel"/>
    <w:tmpl w:val="0EFA05E8"/>
    <w:lvl w:ilvl="0" w:tplc="C518DC98">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7D5F7C0B"/>
    <w:multiLevelType w:val="hybridMultilevel"/>
    <w:tmpl w:val="0CCE91B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AB3517"/>
    <w:multiLevelType w:val="hybridMultilevel"/>
    <w:tmpl w:val="FF0E784C"/>
    <w:lvl w:ilvl="0" w:tplc="C518DC98">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56E60F6E">
      <w:numFmt w:val="bullet"/>
      <w:lvlText w:val="•"/>
      <w:lvlJc w:val="left"/>
      <w:pPr>
        <w:ind w:left="2508" w:hanging="360"/>
      </w:pPr>
      <w:rPr>
        <w:rFonts w:ascii="Calibri" w:eastAsiaTheme="minorHAnsi" w:hAnsi="Calibri" w:cs="Calibr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094787804">
    <w:abstractNumId w:val="15"/>
  </w:num>
  <w:num w:numId="2" w16cid:durableId="25715127">
    <w:abstractNumId w:val="20"/>
  </w:num>
  <w:num w:numId="3" w16cid:durableId="2032803952">
    <w:abstractNumId w:val="10"/>
  </w:num>
  <w:num w:numId="4" w16cid:durableId="2073655106">
    <w:abstractNumId w:val="18"/>
  </w:num>
  <w:num w:numId="5" w16cid:durableId="742410494">
    <w:abstractNumId w:val="12"/>
  </w:num>
  <w:num w:numId="6" w16cid:durableId="1844010657">
    <w:abstractNumId w:val="1"/>
  </w:num>
  <w:num w:numId="7" w16cid:durableId="274100097">
    <w:abstractNumId w:val="14"/>
  </w:num>
  <w:num w:numId="8" w16cid:durableId="1356149863">
    <w:abstractNumId w:val="9"/>
  </w:num>
  <w:num w:numId="9" w16cid:durableId="646472743">
    <w:abstractNumId w:val="22"/>
  </w:num>
  <w:num w:numId="10" w16cid:durableId="392699944">
    <w:abstractNumId w:val="7"/>
  </w:num>
  <w:num w:numId="11" w16cid:durableId="1526870095">
    <w:abstractNumId w:val="13"/>
  </w:num>
  <w:num w:numId="12" w16cid:durableId="305162210">
    <w:abstractNumId w:val="23"/>
  </w:num>
  <w:num w:numId="13" w16cid:durableId="148523065">
    <w:abstractNumId w:val="11"/>
  </w:num>
  <w:num w:numId="14" w16cid:durableId="1721125843">
    <w:abstractNumId w:val="8"/>
  </w:num>
  <w:num w:numId="15" w16cid:durableId="307511657">
    <w:abstractNumId w:val="0"/>
  </w:num>
  <w:num w:numId="16" w16cid:durableId="929316972">
    <w:abstractNumId w:val="24"/>
  </w:num>
  <w:num w:numId="17" w16cid:durableId="60174835">
    <w:abstractNumId w:val="17"/>
  </w:num>
  <w:num w:numId="18" w16cid:durableId="1866212792">
    <w:abstractNumId w:val="4"/>
  </w:num>
  <w:num w:numId="19" w16cid:durableId="1086923864">
    <w:abstractNumId w:val="16"/>
  </w:num>
  <w:num w:numId="20" w16cid:durableId="596905053">
    <w:abstractNumId w:val="5"/>
  </w:num>
  <w:num w:numId="21" w16cid:durableId="5401762">
    <w:abstractNumId w:val="21"/>
  </w:num>
  <w:num w:numId="22" w16cid:durableId="1640264487">
    <w:abstractNumId w:val="3"/>
  </w:num>
  <w:num w:numId="23" w16cid:durableId="1377244643">
    <w:abstractNumId w:val="2"/>
  </w:num>
  <w:num w:numId="24" w16cid:durableId="1116559148">
    <w:abstractNumId w:val="6"/>
  </w:num>
  <w:num w:numId="25" w16cid:durableId="115595338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E1C19"/>
    <w:rsid w:val="0015770F"/>
    <w:rsid w:val="001A68D1"/>
    <w:rsid w:val="002C6E21"/>
    <w:rsid w:val="003004C5"/>
    <w:rsid w:val="00306CCC"/>
    <w:rsid w:val="00314B76"/>
    <w:rsid w:val="00370695"/>
    <w:rsid w:val="00402F98"/>
    <w:rsid w:val="005521DB"/>
    <w:rsid w:val="005F410E"/>
    <w:rsid w:val="006347A3"/>
    <w:rsid w:val="00781940"/>
    <w:rsid w:val="007D32D5"/>
    <w:rsid w:val="007E4FF6"/>
    <w:rsid w:val="007F4EF4"/>
    <w:rsid w:val="00820553"/>
    <w:rsid w:val="009057D7"/>
    <w:rsid w:val="00940089"/>
    <w:rsid w:val="009A2178"/>
    <w:rsid w:val="00A36E22"/>
    <w:rsid w:val="00AE38D5"/>
    <w:rsid w:val="00B801F8"/>
    <w:rsid w:val="00B87CF4"/>
    <w:rsid w:val="00C16113"/>
    <w:rsid w:val="00D349E1"/>
    <w:rsid w:val="00FF0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D9B97-70FD-43F0-A199-F71E41E10DFB}">
  <ds:schemaRefs>
    <ds:schemaRef ds:uri="http://schemas.microsoft.com/sharepoint/v3/contenttype/forms"/>
  </ds:schemaRefs>
</ds:datastoreItem>
</file>

<file path=customXml/itemProps2.xml><?xml version="1.0" encoding="utf-8"?>
<ds:datastoreItem xmlns:ds="http://schemas.openxmlformats.org/officeDocument/2006/customXml" ds:itemID="{54C9917D-651D-4D6D-BAD3-868F97DBADFF}">
  <ds:schemaRefs>
    <ds:schemaRef ds:uri="http://schemas.microsoft.com/office/2006/documentManagement/types"/>
    <ds:schemaRef ds:uri="http://purl.org/dc/elements/1.1/"/>
    <ds:schemaRef ds:uri="http://schemas.microsoft.com/office/2006/metadata/properties"/>
    <ds:schemaRef ds:uri="bb64a37f-c5a3-4adb-861c-9d3b60f16b6d"/>
    <ds:schemaRef ds:uri="http://schemas.openxmlformats.org/package/2006/metadata/core-properties"/>
    <ds:schemaRef ds:uri="http://purl.org/dc/terms/"/>
    <ds:schemaRef ds:uri="http://schemas.microsoft.com/office/infopath/2007/PartnerControls"/>
    <ds:schemaRef ds:uri="55cc30d2-b7bd-4f08-b9b2-9735056b3bad"/>
    <ds:schemaRef ds:uri="http://www.w3.org/XML/1998/namespace"/>
    <ds:schemaRef ds:uri="http://purl.org/dc/dcmitype/"/>
  </ds:schemaRefs>
</ds:datastoreItem>
</file>

<file path=customXml/itemProps3.xml><?xml version="1.0" encoding="utf-8"?>
<ds:datastoreItem xmlns:ds="http://schemas.openxmlformats.org/officeDocument/2006/customXml" ds:itemID="{50BA9F23-F080-4E36-AB60-F26269B8A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1779</Words>
  <Characters>9787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4</cp:revision>
  <dcterms:created xsi:type="dcterms:W3CDTF">2022-11-30T12:43:00Z</dcterms:created>
  <dcterms:modified xsi:type="dcterms:W3CDTF">2024-01-10T14:32:00Z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