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770D0675" w:rsidR="000E1C19" w:rsidRPr="006C22DB" w:rsidRDefault="007E4FF6" w:rsidP="000E1C19">
                            <w:pPr>
                              <w:pStyle w:val="Sansinterligne"/>
                              <w:jc w:val="center"/>
                              <w:rPr>
                                <w:b/>
                                <w:bCs/>
                              </w:rPr>
                            </w:pPr>
                            <w:r>
                              <w:rPr>
                                <w:b/>
                                <w:bCs/>
                              </w:rPr>
                              <w:t>2.</w:t>
                            </w:r>
                            <w:r w:rsidR="0001429F">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770D0675" w:rsidR="000E1C19" w:rsidRPr="006C22DB" w:rsidRDefault="007E4FF6" w:rsidP="000E1C19">
                      <w:pPr>
                        <w:pStyle w:val="Sansinterligne"/>
                        <w:jc w:val="center"/>
                        <w:rPr>
                          <w:b/>
                          <w:bCs/>
                        </w:rPr>
                      </w:pPr>
                      <w:r>
                        <w:rPr>
                          <w:b/>
                          <w:bCs/>
                        </w:rPr>
                        <w:t>2.</w:t>
                      </w:r>
                      <w:r w:rsidR="0001429F">
                        <w:rPr>
                          <w:b/>
                          <w:bCs/>
                        </w:rPr>
                        <w:t>7</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55C88ADD" w:rsidR="000E1C19" w:rsidRDefault="000E1C19" w:rsidP="000E1C19">
      <w:pPr>
        <w:rPr>
          <w:rFonts w:ascii="Calibri" w:hAnsi="Calibri" w:cs="Calibri"/>
        </w:rPr>
      </w:pPr>
    </w:p>
    <w:p w14:paraId="15633E4E" w14:textId="6F99A0BE" w:rsidR="0001429F" w:rsidRDefault="0001429F" w:rsidP="0001429F">
      <w:pPr>
        <w:pStyle w:val="Sansinterligne"/>
        <w:jc w:val="both"/>
        <w:rPr>
          <w:rFonts w:ascii="Calibri" w:hAnsi="Calibri" w:cs="Calibri"/>
          <w:sz w:val="10"/>
          <w:szCs w:val="10"/>
        </w:rPr>
      </w:pPr>
    </w:p>
    <w:p w14:paraId="73B87EFF" w14:textId="07ED0516" w:rsidR="0001429F" w:rsidRDefault="0001429F" w:rsidP="0001429F">
      <w:pPr>
        <w:pStyle w:val="Sansinterligne"/>
        <w:jc w:val="both"/>
        <w:rPr>
          <w:rFonts w:ascii="Calibri" w:hAnsi="Calibri" w:cs="Calibri"/>
          <w:sz w:val="10"/>
          <w:szCs w:val="10"/>
        </w:rPr>
      </w:pPr>
    </w:p>
    <w:p w14:paraId="753E12F6" w14:textId="77777777" w:rsidR="005D29D7" w:rsidRDefault="005D29D7" w:rsidP="005D29D7">
      <w:pPr>
        <w:pStyle w:val="Sansinterligne"/>
        <w:jc w:val="both"/>
        <w:rPr>
          <w:rFonts w:ascii="Calibri" w:hAnsi="Calibri" w:cs="Calibri"/>
          <w:sz w:val="10"/>
          <w:szCs w:val="10"/>
        </w:rPr>
      </w:pPr>
    </w:p>
    <w:p w14:paraId="4C41F852" w14:textId="77777777" w:rsidR="005D29D7" w:rsidRPr="009325D3" w:rsidRDefault="005D29D7" w:rsidP="005D29D7">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5D29D7" w:rsidRPr="009325D3" w14:paraId="1211394F"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696A567C" w14:textId="77777777" w:rsidR="005D29D7" w:rsidRPr="009325D3" w:rsidRDefault="005D29D7" w:rsidP="000B288C">
            <w:pPr>
              <w:pStyle w:val="Titre"/>
              <w:outlineLvl w:val="2"/>
              <w:rPr>
                <w:rFonts w:cs="Calibri"/>
              </w:rPr>
            </w:pPr>
            <w:bookmarkStart w:id="0" w:name="_Toc116053893"/>
            <w:r w:rsidRPr="009325D3">
              <w:rPr>
                <w:rFonts w:cs="Calibri"/>
              </w:rPr>
              <w:t>Action n°25</w:t>
            </w:r>
            <w:bookmarkEnd w:id="0"/>
          </w:p>
          <w:p w14:paraId="2F84BB46" w14:textId="77777777" w:rsidR="005D29D7" w:rsidRPr="009325D3" w:rsidRDefault="005D29D7" w:rsidP="000B288C">
            <w:pPr>
              <w:pStyle w:val="Titre"/>
              <w:outlineLvl w:val="2"/>
              <w:rPr>
                <w:rFonts w:cs="Calibri"/>
              </w:rPr>
            </w:pPr>
            <w:bookmarkStart w:id="1" w:name="_Toc116053894"/>
            <w:r w:rsidRPr="009325D3">
              <w:rPr>
                <w:rFonts w:cs="Calibri"/>
              </w:rPr>
              <w:t>Reconquête de la biodiversité remarquable et ordinaire</w:t>
            </w:r>
            <w:bookmarkEnd w:id="1"/>
          </w:p>
        </w:tc>
      </w:tr>
      <w:tr w:rsidR="005D29D7" w:rsidRPr="009325D3" w14:paraId="21BF7812"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39D04D1D" w14:textId="77777777" w:rsidR="005D29D7" w:rsidRPr="009325D3" w:rsidRDefault="005D29D7"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072B1AF8" w14:textId="77777777" w:rsidR="005D29D7" w:rsidRPr="009325D3" w:rsidRDefault="005D29D7"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1BB64FDF" w14:textId="77777777" w:rsidR="005D29D7" w:rsidRPr="009325D3" w:rsidRDefault="005D29D7"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3C22E532" w14:textId="77777777" w:rsidR="005D29D7" w:rsidRPr="009325D3" w:rsidRDefault="005D29D7"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496E1A43" w14:textId="77777777" w:rsidR="005D29D7" w:rsidRPr="009325D3" w:rsidRDefault="005D29D7" w:rsidP="005D29D7">
      <w:pPr>
        <w:pStyle w:val="Sansinterligne"/>
        <w:jc w:val="both"/>
        <w:rPr>
          <w:rFonts w:ascii="Calibri" w:hAnsi="Calibri" w:cs="Calibri"/>
        </w:rPr>
      </w:pPr>
    </w:p>
    <w:p w14:paraId="1FF2605F" w14:textId="77777777" w:rsidR="005D29D7" w:rsidRPr="009325D3" w:rsidRDefault="005D29D7" w:rsidP="005D29D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3067E2CC" w14:textId="77777777" w:rsidR="005D29D7" w:rsidRPr="009325D3" w:rsidRDefault="005D29D7" w:rsidP="005D29D7">
      <w:pPr>
        <w:pStyle w:val="Sansinterligne"/>
        <w:jc w:val="both"/>
        <w:rPr>
          <w:rFonts w:ascii="Calibri" w:hAnsi="Calibri" w:cs="Calibri"/>
        </w:rPr>
      </w:pPr>
    </w:p>
    <w:p w14:paraId="1C746E20" w14:textId="77777777" w:rsidR="005D29D7" w:rsidRPr="009325D3" w:rsidRDefault="005D29D7" w:rsidP="005D29D7">
      <w:pPr>
        <w:pStyle w:val="Sansinterligne"/>
        <w:jc w:val="both"/>
        <w:rPr>
          <w:rFonts w:ascii="Calibri" w:hAnsi="Calibri" w:cs="Calibri"/>
        </w:rPr>
      </w:pPr>
      <w:r w:rsidRPr="009325D3">
        <w:rPr>
          <w:rFonts w:ascii="Calibri" w:hAnsi="Calibri" w:cs="Calibri"/>
        </w:rPr>
        <w:t>L’objectif 18 du Schéma régional d’Aménagement et de Développement Durable et d’Egalité des territoires (SRADDET) vise à faire de la région Centre-Val de Loire « la première région à biodiversité positive” d’ici 2030, cela signifie générer plus de biodiversité qu’il n’en est détruit sur le territoire.</w:t>
      </w:r>
    </w:p>
    <w:p w14:paraId="39B17613" w14:textId="77777777" w:rsidR="005D29D7" w:rsidRPr="009325D3" w:rsidRDefault="005D29D7" w:rsidP="005D29D7">
      <w:pPr>
        <w:pStyle w:val="Sansinterligne"/>
        <w:jc w:val="both"/>
        <w:rPr>
          <w:rFonts w:ascii="Calibri" w:hAnsi="Calibri" w:cs="Calibri"/>
        </w:rPr>
      </w:pPr>
    </w:p>
    <w:p w14:paraId="680B966F" w14:textId="77777777" w:rsidR="005D29D7" w:rsidRPr="009325D3" w:rsidRDefault="005D29D7" w:rsidP="005D29D7">
      <w:pPr>
        <w:pStyle w:val="Sansinterligne"/>
        <w:jc w:val="both"/>
        <w:rPr>
          <w:rFonts w:ascii="Calibri" w:hAnsi="Calibri" w:cs="Calibri"/>
        </w:rPr>
      </w:pPr>
      <w:r w:rsidRPr="009325D3">
        <w:rPr>
          <w:rFonts w:ascii="Calibri" w:hAnsi="Calibri" w:cs="Calibri"/>
        </w:rPr>
        <w:t>Cette mesure sur la reconquête de la biodiversité régionale comporte quatre objectifs :</w:t>
      </w:r>
    </w:p>
    <w:p w14:paraId="1F9710DE" w14:textId="77777777" w:rsidR="005D29D7" w:rsidRPr="009325D3" w:rsidRDefault="005D29D7" w:rsidP="005D29D7">
      <w:pPr>
        <w:pStyle w:val="Sansinterligne"/>
        <w:jc w:val="both"/>
        <w:rPr>
          <w:rFonts w:ascii="Calibri" w:hAnsi="Calibri" w:cs="Calibri"/>
        </w:rPr>
      </w:pPr>
    </w:p>
    <w:p w14:paraId="016EE7C0" w14:textId="77777777" w:rsidR="005D29D7" w:rsidRPr="009325D3" w:rsidRDefault="005D29D7" w:rsidP="005D29D7">
      <w:pPr>
        <w:pStyle w:val="Sansinterligne"/>
        <w:numPr>
          <w:ilvl w:val="0"/>
          <w:numId w:val="38"/>
        </w:numPr>
        <w:jc w:val="both"/>
        <w:rPr>
          <w:rFonts w:ascii="Calibri" w:hAnsi="Calibri" w:cs="Calibri"/>
        </w:rPr>
      </w:pPr>
      <w:r w:rsidRPr="009325D3">
        <w:rPr>
          <w:rFonts w:ascii="Calibri" w:hAnsi="Calibri" w:cs="Calibri"/>
        </w:rPr>
        <w:t xml:space="preserve">Préserver la fonctionnalité écologique du territoire pour </w:t>
      </w:r>
      <w:r w:rsidRPr="009325D3">
        <w:rPr>
          <w:rFonts w:ascii="Calibri" w:hAnsi="Calibri" w:cs="Calibri"/>
          <w:b/>
          <w:bCs/>
          <w:color w:val="002060"/>
        </w:rPr>
        <w:t>éviter toute fragilisation supplémentaire des couloirs de circulation des espèces</w:t>
      </w:r>
      <w:r w:rsidRPr="009325D3">
        <w:rPr>
          <w:rFonts w:ascii="Calibri" w:hAnsi="Calibri" w:cs="Calibri"/>
          <w:color w:val="002060"/>
        </w:rPr>
        <w:t xml:space="preserve"> </w:t>
      </w:r>
      <w:r w:rsidRPr="009325D3">
        <w:rPr>
          <w:rFonts w:ascii="Calibri" w:hAnsi="Calibri" w:cs="Calibri"/>
        </w:rPr>
        <w:t xml:space="preserve">notamment en traitant les “points noirs” à la continuité écologique ; </w:t>
      </w:r>
    </w:p>
    <w:p w14:paraId="16BD4EB9" w14:textId="77777777" w:rsidR="005D29D7" w:rsidRPr="009325D3" w:rsidRDefault="005D29D7" w:rsidP="005D29D7">
      <w:pPr>
        <w:pStyle w:val="Sansinterligne"/>
        <w:jc w:val="both"/>
        <w:rPr>
          <w:rFonts w:ascii="Calibri" w:hAnsi="Calibri" w:cs="Calibri"/>
        </w:rPr>
      </w:pPr>
    </w:p>
    <w:p w14:paraId="7781DBDB" w14:textId="77777777" w:rsidR="005D29D7" w:rsidRPr="009325D3" w:rsidRDefault="005D29D7" w:rsidP="005D29D7">
      <w:pPr>
        <w:pStyle w:val="Sansinterligne"/>
        <w:numPr>
          <w:ilvl w:val="0"/>
          <w:numId w:val="38"/>
        </w:numPr>
        <w:jc w:val="both"/>
        <w:rPr>
          <w:rFonts w:ascii="Calibri" w:hAnsi="Calibri" w:cs="Calibri"/>
        </w:rPr>
      </w:pPr>
      <w:r w:rsidRPr="009325D3">
        <w:rPr>
          <w:rFonts w:ascii="Calibri" w:hAnsi="Calibri" w:cs="Calibri"/>
          <w:b/>
          <w:bCs/>
          <w:color w:val="002060"/>
        </w:rPr>
        <w:t>Préserver les habitats naturels menacés</w:t>
      </w:r>
      <w:r w:rsidRPr="009325D3">
        <w:rPr>
          <w:rFonts w:ascii="Calibri" w:hAnsi="Calibri" w:cs="Calibri"/>
        </w:rPr>
        <w:t xml:space="preserve"> en région ;</w:t>
      </w:r>
    </w:p>
    <w:p w14:paraId="4BDC654B" w14:textId="77777777" w:rsidR="005D29D7" w:rsidRPr="009325D3" w:rsidRDefault="005D29D7" w:rsidP="005D29D7">
      <w:pPr>
        <w:pStyle w:val="Sansinterligne"/>
        <w:jc w:val="both"/>
        <w:rPr>
          <w:rFonts w:ascii="Calibri" w:hAnsi="Calibri" w:cs="Calibri"/>
        </w:rPr>
      </w:pPr>
    </w:p>
    <w:p w14:paraId="6126D2B9" w14:textId="77777777" w:rsidR="005D29D7" w:rsidRPr="009325D3" w:rsidRDefault="005D29D7" w:rsidP="005D29D7">
      <w:pPr>
        <w:pStyle w:val="Sansinterligne"/>
        <w:numPr>
          <w:ilvl w:val="0"/>
          <w:numId w:val="38"/>
        </w:numPr>
        <w:jc w:val="both"/>
        <w:rPr>
          <w:rFonts w:ascii="Calibri" w:hAnsi="Calibri" w:cs="Calibri"/>
        </w:rPr>
      </w:pPr>
      <w:r w:rsidRPr="009325D3">
        <w:rPr>
          <w:rFonts w:ascii="Calibri" w:hAnsi="Calibri" w:cs="Calibri"/>
          <w:b/>
          <w:bCs/>
          <w:color w:val="002060"/>
        </w:rPr>
        <w:t>Restaurer la fonctionnalité écologique des secteurs dégradés</w:t>
      </w:r>
      <w:r w:rsidRPr="009325D3">
        <w:rPr>
          <w:rFonts w:ascii="Calibri" w:hAnsi="Calibri" w:cs="Calibri"/>
        </w:rPr>
        <w:t>, expérimenter la compensation écologique et réaliser les travaux de génie végétal destinés à l’entretien et à la restauration du réseau écologique régional dans une logique de créations d’emplois pérennes et non délocalisables et de formation des professionnels ;</w:t>
      </w:r>
    </w:p>
    <w:p w14:paraId="296EF34D" w14:textId="77777777" w:rsidR="005D29D7" w:rsidRPr="009325D3" w:rsidRDefault="005D29D7" w:rsidP="005D29D7">
      <w:pPr>
        <w:pStyle w:val="Sansinterligne"/>
        <w:jc w:val="both"/>
        <w:rPr>
          <w:rFonts w:ascii="Calibri" w:hAnsi="Calibri" w:cs="Calibri"/>
        </w:rPr>
      </w:pPr>
    </w:p>
    <w:p w14:paraId="2078A0A0" w14:textId="77777777" w:rsidR="005D29D7" w:rsidRPr="009325D3" w:rsidRDefault="005D29D7" w:rsidP="005D29D7">
      <w:pPr>
        <w:pStyle w:val="Sansinterligne"/>
        <w:numPr>
          <w:ilvl w:val="0"/>
          <w:numId w:val="38"/>
        </w:numPr>
        <w:jc w:val="both"/>
        <w:rPr>
          <w:rFonts w:ascii="Calibri" w:hAnsi="Calibri" w:cs="Calibri"/>
        </w:rPr>
      </w:pPr>
      <w:r w:rsidRPr="009325D3">
        <w:rPr>
          <w:rFonts w:ascii="Calibri" w:hAnsi="Calibri" w:cs="Calibri"/>
          <w:b/>
          <w:bCs/>
          <w:color w:val="002060"/>
        </w:rPr>
        <w:t>Développer et structurer une connaissance opérationnelle</w:t>
      </w:r>
      <w:r w:rsidRPr="009325D3">
        <w:rPr>
          <w:rFonts w:ascii="Calibri" w:hAnsi="Calibri" w:cs="Calibri"/>
        </w:rPr>
        <w:t xml:space="preserve"> sur la biodiversité.</w:t>
      </w:r>
    </w:p>
    <w:p w14:paraId="4EB6D0D2" w14:textId="77777777" w:rsidR="005D29D7" w:rsidRPr="009325D3" w:rsidRDefault="005D29D7" w:rsidP="005D29D7">
      <w:pPr>
        <w:pStyle w:val="Sansinterligne"/>
        <w:jc w:val="both"/>
        <w:rPr>
          <w:rFonts w:ascii="Calibri" w:hAnsi="Calibri" w:cs="Calibri"/>
        </w:rPr>
      </w:pPr>
    </w:p>
    <w:p w14:paraId="5675F90E" w14:textId="77777777" w:rsidR="005D29D7" w:rsidRPr="009325D3" w:rsidRDefault="005D29D7" w:rsidP="005D29D7">
      <w:pPr>
        <w:pStyle w:val="Sansinterligne"/>
        <w:jc w:val="both"/>
        <w:rPr>
          <w:rFonts w:ascii="Calibri" w:hAnsi="Calibri" w:cs="Calibri"/>
        </w:rPr>
      </w:pPr>
      <w:r w:rsidRPr="009325D3">
        <w:rPr>
          <w:rFonts w:ascii="Calibri" w:hAnsi="Calibri" w:cs="Calibri"/>
        </w:rPr>
        <w:t>Le FEDER sera donc mobilisé notamment pour de l’ingénierie, des travaux et des dépenses permettant la restauration ou l’entretien des milieux pour des secteurs non labellisés et prioritairement situés dans les communes « en sous trames écologiques prioritaires ».</w:t>
      </w:r>
    </w:p>
    <w:p w14:paraId="06E07617" w14:textId="77777777" w:rsidR="005D29D7" w:rsidRPr="009325D3" w:rsidRDefault="005D29D7" w:rsidP="005D29D7">
      <w:pPr>
        <w:pStyle w:val="Sansinterligne"/>
        <w:jc w:val="center"/>
        <w:rPr>
          <w:rFonts w:ascii="Calibri" w:hAnsi="Calibri" w:cs="Calibri"/>
          <w:b/>
          <w:bCs/>
          <w:color w:val="4472C4" w:themeColor="accent1"/>
          <w:sz w:val="28"/>
          <w:szCs w:val="28"/>
        </w:rPr>
      </w:pPr>
      <w:r w:rsidRPr="009325D3">
        <w:rPr>
          <w:rFonts w:ascii="Calibri" w:hAnsi="Calibri" w:cs="Calibri"/>
          <w:b/>
          <w:bCs/>
          <w:color w:val="4472C4" w:themeColor="accent1"/>
          <w:sz w:val="28"/>
          <w:szCs w:val="28"/>
        </w:rPr>
        <w:t>(</w:t>
      </w:r>
      <w:r w:rsidRPr="009325D3">
        <w:rPr>
          <w:rFonts w:ascii="Calibri" w:hAnsi="Calibri" w:cs="Calibri"/>
          <w:b/>
          <w:bCs/>
          <w:i/>
          <w:iCs/>
          <w:color w:val="4472C4" w:themeColor="accent1"/>
          <w:sz w:val="28"/>
          <w:szCs w:val="28"/>
        </w:rPr>
        <w:t>Cf.</w:t>
      </w:r>
      <w:r w:rsidRPr="009325D3">
        <w:rPr>
          <w:rFonts w:ascii="Calibri" w:hAnsi="Calibri" w:cs="Calibri"/>
          <w:b/>
          <w:bCs/>
          <w:color w:val="4472C4" w:themeColor="accent1"/>
          <w:sz w:val="28"/>
          <w:szCs w:val="28"/>
        </w:rPr>
        <w:t xml:space="preserve"> carte en annexe)</w:t>
      </w:r>
    </w:p>
    <w:p w14:paraId="6C1F0853" w14:textId="77777777" w:rsidR="005D29D7" w:rsidRPr="009325D3" w:rsidRDefault="005D29D7" w:rsidP="005D29D7">
      <w:pPr>
        <w:pStyle w:val="Sansinterligne"/>
        <w:jc w:val="center"/>
        <w:rPr>
          <w:rFonts w:ascii="Calibri" w:hAnsi="Calibri" w:cs="Calibri"/>
          <w:b/>
          <w:bCs/>
          <w:color w:val="4472C4" w:themeColor="accent1"/>
          <w:sz w:val="28"/>
          <w:szCs w:val="28"/>
        </w:rPr>
      </w:pPr>
    </w:p>
    <w:p w14:paraId="7D8F4C4A" w14:textId="77777777" w:rsidR="005D29D7" w:rsidRPr="009325D3" w:rsidRDefault="005D29D7" w:rsidP="005D29D7">
      <w:pPr>
        <w:pStyle w:val="Sansinterligne"/>
        <w:jc w:val="both"/>
        <w:rPr>
          <w:rFonts w:ascii="Calibri" w:hAnsi="Calibri" w:cs="Calibri"/>
        </w:rPr>
      </w:pPr>
      <w:r w:rsidRPr="009325D3">
        <w:rPr>
          <w:rFonts w:ascii="Calibri" w:hAnsi="Calibri" w:cs="Calibri"/>
        </w:rPr>
        <w:t xml:space="preserve">Le FEDER permettra en priorité le financement d’opérations à destination des zones humides, des milieux </w:t>
      </w:r>
      <w:proofErr w:type="spellStart"/>
      <w:r w:rsidRPr="009325D3">
        <w:rPr>
          <w:rFonts w:ascii="Calibri" w:hAnsi="Calibri" w:cs="Calibri"/>
        </w:rPr>
        <w:t>prairiaux</w:t>
      </w:r>
      <w:proofErr w:type="spellEnd"/>
      <w:r w:rsidRPr="009325D3">
        <w:rPr>
          <w:rFonts w:ascii="Calibri" w:hAnsi="Calibri" w:cs="Calibri"/>
        </w:rPr>
        <w:t>, du bocage, des pelouses calcicoles et des landes sur sols acides.</w:t>
      </w:r>
    </w:p>
    <w:p w14:paraId="7D6EA1B3" w14:textId="77777777" w:rsidR="005D29D7" w:rsidRPr="009325D3" w:rsidRDefault="005D29D7" w:rsidP="005D29D7">
      <w:pPr>
        <w:pStyle w:val="Sansinterligne"/>
        <w:jc w:val="both"/>
        <w:rPr>
          <w:rFonts w:ascii="Calibri" w:hAnsi="Calibri" w:cs="Calibri"/>
        </w:rPr>
      </w:pPr>
    </w:p>
    <w:p w14:paraId="183E42BF" w14:textId="77777777" w:rsidR="005D29D7" w:rsidRPr="009325D3" w:rsidRDefault="005D29D7" w:rsidP="005D29D7">
      <w:pPr>
        <w:pStyle w:val="Sansinterligne"/>
        <w:jc w:val="both"/>
        <w:rPr>
          <w:rFonts w:ascii="Calibri" w:hAnsi="Calibri" w:cs="Calibri"/>
        </w:rPr>
      </w:pPr>
      <w:r w:rsidRPr="009325D3">
        <w:rPr>
          <w:rFonts w:ascii="Calibri" w:hAnsi="Calibri" w:cs="Calibri"/>
        </w:rPr>
        <w:t>Il s’agira de soutenir la volonté régionale de créer de nouvelles aires naturelles protégées dans le cadre de la stratégie nationale aires protégées 2030 et de la stratégie nationale biodiversité 2030 par la création de réserves naturelles. Le FEDER permettra de financer les études de faisabilité et les investigations préalables aux procédures de classement de sites naturels en aires protégées.</w:t>
      </w:r>
    </w:p>
    <w:p w14:paraId="27935076" w14:textId="77777777" w:rsidR="005D29D7" w:rsidRPr="009325D3" w:rsidRDefault="005D29D7" w:rsidP="005D29D7">
      <w:pPr>
        <w:pStyle w:val="Sansinterligne"/>
        <w:jc w:val="both"/>
        <w:rPr>
          <w:rFonts w:ascii="Calibri" w:hAnsi="Calibri" w:cs="Calibri"/>
          <w:sz w:val="20"/>
          <w:szCs w:val="20"/>
        </w:rPr>
      </w:pPr>
    </w:p>
    <w:p w14:paraId="598285C0" w14:textId="77777777" w:rsidR="005D29D7" w:rsidRPr="009325D3" w:rsidRDefault="005D29D7" w:rsidP="005D29D7">
      <w:pPr>
        <w:pStyle w:val="Sansinterligne"/>
        <w:jc w:val="both"/>
        <w:rPr>
          <w:rFonts w:ascii="Calibri" w:hAnsi="Calibri" w:cs="Calibri"/>
          <w:b/>
          <w:bCs/>
          <w:color w:val="002060"/>
        </w:rPr>
      </w:pPr>
      <w:r w:rsidRPr="009325D3">
        <w:rPr>
          <w:rFonts w:ascii="Calibri" w:hAnsi="Calibri" w:cs="Calibri"/>
          <w:b/>
          <w:bCs/>
          <w:color w:val="002060"/>
        </w:rPr>
        <w:t>Les 5 typologies d’opérations pourraient prioritairement viser :</w:t>
      </w:r>
    </w:p>
    <w:p w14:paraId="7F51EA24" w14:textId="77777777" w:rsidR="005D29D7" w:rsidRPr="009325D3" w:rsidRDefault="005D29D7" w:rsidP="005D29D7">
      <w:pPr>
        <w:pStyle w:val="Sansinterligne"/>
        <w:jc w:val="both"/>
        <w:rPr>
          <w:rFonts w:ascii="Calibri" w:hAnsi="Calibri" w:cs="Calibri"/>
        </w:rPr>
      </w:pPr>
    </w:p>
    <w:p w14:paraId="04906DA7" w14:textId="77777777" w:rsidR="005D29D7" w:rsidRPr="009325D3" w:rsidRDefault="005D29D7" w:rsidP="005D29D7">
      <w:pPr>
        <w:pStyle w:val="Sansinterligne"/>
        <w:numPr>
          <w:ilvl w:val="0"/>
          <w:numId w:val="39"/>
        </w:numPr>
        <w:jc w:val="both"/>
        <w:rPr>
          <w:rFonts w:ascii="Calibri" w:hAnsi="Calibri" w:cs="Calibri"/>
        </w:rPr>
      </w:pPr>
      <w:r w:rsidRPr="009325D3">
        <w:rPr>
          <w:rFonts w:ascii="Calibri" w:hAnsi="Calibri" w:cs="Calibri"/>
        </w:rPr>
        <w:t>Le traitement des obstacles écologiques recensés dans le livret 5 du SRADDET (SRCE) et par l’Etat dans le cadre de la stratégie nationale biodiversité 2030 ;</w:t>
      </w:r>
    </w:p>
    <w:p w14:paraId="33CB5BD6" w14:textId="77777777" w:rsidR="005D29D7" w:rsidRPr="009325D3" w:rsidRDefault="005D29D7" w:rsidP="005D29D7">
      <w:pPr>
        <w:pStyle w:val="Sansinterligne"/>
        <w:jc w:val="both"/>
        <w:rPr>
          <w:rFonts w:ascii="Calibri" w:hAnsi="Calibri" w:cs="Calibri"/>
        </w:rPr>
      </w:pPr>
    </w:p>
    <w:p w14:paraId="1B8EF51D" w14:textId="77777777" w:rsidR="005D29D7" w:rsidRPr="009325D3" w:rsidRDefault="005D29D7" w:rsidP="005D29D7">
      <w:pPr>
        <w:pStyle w:val="Sansinterligne"/>
        <w:numPr>
          <w:ilvl w:val="0"/>
          <w:numId w:val="39"/>
        </w:numPr>
        <w:jc w:val="both"/>
        <w:rPr>
          <w:rFonts w:ascii="Calibri" w:hAnsi="Calibri" w:cs="Calibri"/>
        </w:rPr>
      </w:pPr>
      <w:r w:rsidRPr="009325D3">
        <w:rPr>
          <w:rFonts w:ascii="Calibri" w:hAnsi="Calibri" w:cs="Calibri"/>
        </w:rPr>
        <w:t>La conception et l’animation de plans d’actions en faveur des continuités écologiques sur des secteurs de grandes superficies (&gt; 500 hectares) situés entre plusieurs « réservoirs de biodiversité » (exemple : plan bocage…) ;</w:t>
      </w:r>
    </w:p>
    <w:p w14:paraId="565E213E" w14:textId="77777777" w:rsidR="005D29D7" w:rsidRPr="009325D3" w:rsidRDefault="005D29D7" w:rsidP="005D29D7">
      <w:pPr>
        <w:pStyle w:val="Sansinterligne"/>
        <w:jc w:val="both"/>
        <w:rPr>
          <w:rFonts w:ascii="Calibri" w:hAnsi="Calibri" w:cs="Calibri"/>
        </w:rPr>
      </w:pPr>
    </w:p>
    <w:p w14:paraId="742E1AD7" w14:textId="77777777" w:rsidR="005D29D7" w:rsidRPr="009325D3" w:rsidRDefault="005D29D7" w:rsidP="005D29D7">
      <w:pPr>
        <w:pStyle w:val="Sansinterligne"/>
        <w:numPr>
          <w:ilvl w:val="0"/>
          <w:numId w:val="39"/>
        </w:numPr>
        <w:jc w:val="both"/>
        <w:rPr>
          <w:rFonts w:ascii="Calibri" w:hAnsi="Calibri" w:cs="Calibri"/>
        </w:rPr>
      </w:pPr>
      <w:r w:rsidRPr="009325D3">
        <w:rPr>
          <w:rFonts w:ascii="Calibri" w:hAnsi="Calibri" w:cs="Calibri"/>
        </w:rPr>
        <w:t>Des travaux de renaturation d’un site naturel en mauvais état de conservation pour regagner des superficies de zones naturelles fonctionnelles du type zones humides, prairies humides, milieu bocager, pelouses calcicoles et landes sur sols acides (= sous trames prioritaires du SRADDET) ;</w:t>
      </w:r>
    </w:p>
    <w:p w14:paraId="27C8A9B6" w14:textId="77777777" w:rsidR="005D29D7" w:rsidRPr="009325D3" w:rsidRDefault="005D29D7" w:rsidP="005D29D7">
      <w:pPr>
        <w:pStyle w:val="Sansinterligne"/>
        <w:jc w:val="both"/>
        <w:rPr>
          <w:rFonts w:ascii="Calibri" w:hAnsi="Calibri" w:cs="Calibri"/>
        </w:rPr>
      </w:pPr>
    </w:p>
    <w:p w14:paraId="58236B7B" w14:textId="77777777" w:rsidR="005D29D7" w:rsidRPr="009325D3" w:rsidRDefault="005D29D7" w:rsidP="005D29D7">
      <w:pPr>
        <w:pStyle w:val="Sansinterligne"/>
        <w:numPr>
          <w:ilvl w:val="0"/>
          <w:numId w:val="39"/>
        </w:numPr>
        <w:jc w:val="both"/>
        <w:rPr>
          <w:rFonts w:ascii="Calibri" w:hAnsi="Calibri" w:cs="Calibri"/>
        </w:rPr>
      </w:pPr>
      <w:r w:rsidRPr="009325D3">
        <w:rPr>
          <w:rFonts w:ascii="Calibri" w:hAnsi="Calibri" w:cs="Calibri"/>
        </w:rPr>
        <w:t>Des opérations d’'animation pour monter un programme collectif de protection « citoyenne » comme par exemple la mise en place des obligations réelles environnementales – (ORE…) ;</w:t>
      </w:r>
    </w:p>
    <w:p w14:paraId="61DF28A5" w14:textId="77777777" w:rsidR="005D29D7" w:rsidRPr="009325D3" w:rsidRDefault="005D29D7" w:rsidP="005D29D7">
      <w:pPr>
        <w:pStyle w:val="Sansinterligne"/>
        <w:jc w:val="both"/>
        <w:rPr>
          <w:rFonts w:ascii="Calibri" w:hAnsi="Calibri" w:cs="Calibri"/>
        </w:rPr>
      </w:pPr>
    </w:p>
    <w:p w14:paraId="49272F69" w14:textId="77777777" w:rsidR="005D29D7" w:rsidRPr="009325D3" w:rsidRDefault="005D29D7" w:rsidP="005D29D7">
      <w:pPr>
        <w:pStyle w:val="Sansinterligne"/>
        <w:numPr>
          <w:ilvl w:val="0"/>
          <w:numId w:val="39"/>
        </w:numPr>
        <w:jc w:val="both"/>
        <w:rPr>
          <w:rFonts w:ascii="Calibri" w:hAnsi="Calibri" w:cs="Calibri"/>
        </w:rPr>
      </w:pPr>
      <w:r w:rsidRPr="009325D3">
        <w:rPr>
          <w:rFonts w:ascii="Calibri" w:hAnsi="Calibri" w:cs="Calibri"/>
        </w:rPr>
        <w:t>Des opérations d’amélioration des connaissances sur la biodiversité régionale et répondant aux lacunes de données identifiées par l’Observatoire Régional de la Biodiversité.</w:t>
      </w:r>
    </w:p>
    <w:p w14:paraId="7F52B771" w14:textId="77777777" w:rsidR="005D29D7" w:rsidRPr="009325D3" w:rsidRDefault="005D29D7" w:rsidP="005D29D7">
      <w:pPr>
        <w:pStyle w:val="Sansinterligne"/>
        <w:jc w:val="both"/>
        <w:rPr>
          <w:rFonts w:ascii="Calibri" w:hAnsi="Calibri" w:cs="Calibri"/>
        </w:rPr>
      </w:pPr>
    </w:p>
    <w:p w14:paraId="23546443" w14:textId="77777777" w:rsidR="005D29D7" w:rsidRPr="009325D3" w:rsidRDefault="005D29D7" w:rsidP="005D29D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7971BB4" w14:textId="77777777" w:rsidR="005D29D7" w:rsidRPr="009325D3" w:rsidRDefault="005D29D7" w:rsidP="005D29D7">
      <w:pPr>
        <w:pStyle w:val="Sansinterligne"/>
        <w:jc w:val="both"/>
        <w:rPr>
          <w:rFonts w:ascii="Calibri" w:hAnsi="Calibri" w:cs="Calibri"/>
        </w:rPr>
      </w:pPr>
    </w:p>
    <w:p w14:paraId="7B0EBF86" w14:textId="77777777" w:rsidR="005D29D7" w:rsidRPr="009325D3" w:rsidRDefault="005D29D7" w:rsidP="005D29D7">
      <w:pPr>
        <w:pStyle w:val="Sansinterligne"/>
        <w:jc w:val="both"/>
        <w:rPr>
          <w:rFonts w:ascii="Calibri" w:hAnsi="Calibri" w:cs="Calibri"/>
        </w:rPr>
      </w:pPr>
      <w:r w:rsidRPr="009325D3">
        <w:rPr>
          <w:rFonts w:ascii="Calibri" w:hAnsi="Calibri" w:cs="Calibri"/>
        </w:rPr>
        <w:t>Ces différentes interventions de fonds européens constitueront de véritables leviers pour permettre aux collectivités du territoire régional de s’inscrire dans la trajectoire fixée dans le cadre du SRADDET. Les typologies d’opérations éligibles sont :</w:t>
      </w:r>
    </w:p>
    <w:p w14:paraId="7FD670AF" w14:textId="77777777" w:rsidR="005D29D7" w:rsidRPr="009325D3" w:rsidRDefault="005D29D7" w:rsidP="005D29D7">
      <w:pPr>
        <w:pStyle w:val="Sansinterligne"/>
        <w:jc w:val="both"/>
        <w:rPr>
          <w:rFonts w:ascii="Calibri" w:hAnsi="Calibri" w:cs="Calibri"/>
        </w:rPr>
      </w:pPr>
    </w:p>
    <w:p w14:paraId="60ADF743" w14:textId="77777777" w:rsidR="005D29D7" w:rsidRPr="009325D3" w:rsidRDefault="005D29D7" w:rsidP="005D29D7">
      <w:pPr>
        <w:pStyle w:val="Sansinterligne"/>
        <w:numPr>
          <w:ilvl w:val="0"/>
          <w:numId w:val="40"/>
        </w:numPr>
        <w:jc w:val="both"/>
        <w:rPr>
          <w:rFonts w:ascii="Calibri" w:hAnsi="Calibri" w:cs="Calibri"/>
        </w:rPr>
      </w:pPr>
      <w:r w:rsidRPr="009325D3">
        <w:rPr>
          <w:rFonts w:ascii="Calibri" w:hAnsi="Calibri" w:cs="Calibri"/>
        </w:rPr>
        <w:t>Des études pour l’amélioration des connaissances de la biodiversité à l’échelle régionale pour soutenir l’émergence, le traitement et la valorisation des données ;</w:t>
      </w:r>
    </w:p>
    <w:p w14:paraId="0CF3B1C4" w14:textId="77777777" w:rsidR="005D29D7" w:rsidRPr="009325D3" w:rsidRDefault="005D29D7" w:rsidP="005D29D7">
      <w:pPr>
        <w:pStyle w:val="Sansinterligne"/>
        <w:numPr>
          <w:ilvl w:val="0"/>
          <w:numId w:val="40"/>
        </w:numPr>
        <w:jc w:val="both"/>
        <w:rPr>
          <w:rFonts w:ascii="Calibri" w:hAnsi="Calibri" w:cs="Calibri"/>
        </w:rPr>
      </w:pPr>
      <w:r w:rsidRPr="009325D3">
        <w:rPr>
          <w:rFonts w:ascii="Calibri" w:hAnsi="Calibri" w:cs="Calibri"/>
        </w:rPr>
        <w:t>Des travaux de suppression ou d’aménagement d’obstacles aux continuités écologiques ;</w:t>
      </w:r>
    </w:p>
    <w:p w14:paraId="7BF7594E" w14:textId="77777777" w:rsidR="005D29D7" w:rsidRPr="009325D3" w:rsidRDefault="005D29D7" w:rsidP="005D29D7">
      <w:pPr>
        <w:pStyle w:val="Sansinterligne"/>
        <w:numPr>
          <w:ilvl w:val="0"/>
          <w:numId w:val="40"/>
        </w:numPr>
        <w:jc w:val="both"/>
        <w:rPr>
          <w:rFonts w:ascii="Calibri" w:hAnsi="Calibri" w:cs="Calibri"/>
        </w:rPr>
      </w:pPr>
      <w:r w:rsidRPr="009325D3">
        <w:rPr>
          <w:rFonts w:ascii="Calibri" w:hAnsi="Calibri" w:cs="Calibri"/>
        </w:rPr>
        <w:t>Des travaux de renaturation et de restauration écologique ;</w:t>
      </w:r>
    </w:p>
    <w:p w14:paraId="5B2A12E0" w14:textId="77777777" w:rsidR="005D29D7" w:rsidRPr="009325D3" w:rsidRDefault="005D29D7" w:rsidP="005D29D7">
      <w:pPr>
        <w:pStyle w:val="Sansinterligne"/>
        <w:numPr>
          <w:ilvl w:val="0"/>
          <w:numId w:val="40"/>
        </w:numPr>
        <w:jc w:val="both"/>
        <w:rPr>
          <w:rFonts w:ascii="Calibri" w:hAnsi="Calibri" w:cs="Calibri"/>
        </w:rPr>
      </w:pPr>
      <w:r w:rsidRPr="009325D3">
        <w:rPr>
          <w:rFonts w:ascii="Calibri" w:hAnsi="Calibri" w:cs="Calibri"/>
        </w:rPr>
        <w:t>De l’acquisition foncière d’espaces à forts enjeux pour la biodiversité (enjeu faune/flore/habitats naturels ou espace de connexion écologique entre deux sites à forts enjeux) ;</w:t>
      </w:r>
    </w:p>
    <w:p w14:paraId="7822F9DB" w14:textId="77777777" w:rsidR="005D29D7" w:rsidRPr="009325D3" w:rsidRDefault="005D29D7" w:rsidP="005D29D7">
      <w:pPr>
        <w:pStyle w:val="Sansinterligne"/>
        <w:numPr>
          <w:ilvl w:val="0"/>
          <w:numId w:val="40"/>
        </w:numPr>
        <w:jc w:val="both"/>
        <w:rPr>
          <w:rFonts w:ascii="Calibri" w:hAnsi="Calibri" w:cs="Calibri"/>
        </w:rPr>
      </w:pPr>
      <w:r w:rsidRPr="009325D3">
        <w:rPr>
          <w:rFonts w:ascii="Calibri" w:hAnsi="Calibri" w:cs="Calibri"/>
        </w:rPr>
        <w:t>De l’ingénierie pour la conception, la réalisation et l’animation des opérations ;</w:t>
      </w:r>
    </w:p>
    <w:p w14:paraId="70D848A2" w14:textId="77777777" w:rsidR="005D29D7" w:rsidRPr="009325D3" w:rsidRDefault="005D29D7" w:rsidP="005D29D7">
      <w:pPr>
        <w:pStyle w:val="Sansinterligne"/>
        <w:jc w:val="both"/>
        <w:rPr>
          <w:rFonts w:ascii="Calibri" w:hAnsi="Calibri" w:cs="Calibri"/>
        </w:rPr>
      </w:pPr>
    </w:p>
    <w:p w14:paraId="34675548" w14:textId="77777777" w:rsidR="005D29D7" w:rsidRPr="009325D3" w:rsidRDefault="005D29D7" w:rsidP="005D29D7">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7B3F6A51" w14:textId="77777777" w:rsidR="005D29D7" w:rsidRPr="009325D3" w:rsidRDefault="005D29D7" w:rsidP="005D29D7">
      <w:pPr>
        <w:pStyle w:val="Sansinterligne"/>
        <w:jc w:val="both"/>
        <w:rPr>
          <w:rFonts w:ascii="Calibri" w:hAnsi="Calibri" w:cs="Calibri"/>
        </w:rPr>
      </w:pPr>
    </w:p>
    <w:p w14:paraId="4ADEAA59" w14:textId="77777777" w:rsidR="005D29D7" w:rsidRPr="009325D3" w:rsidRDefault="005D29D7" w:rsidP="005D29D7">
      <w:pPr>
        <w:pStyle w:val="Sansinterligne"/>
        <w:jc w:val="both"/>
        <w:rPr>
          <w:rFonts w:ascii="Calibri" w:hAnsi="Calibri" w:cs="Calibri"/>
        </w:rPr>
      </w:pPr>
      <w:r w:rsidRPr="009325D3">
        <w:rPr>
          <w:rFonts w:ascii="Calibri" w:hAnsi="Calibri" w:cs="Calibri"/>
        </w:rPr>
        <w:t>- Collectivités locales et leurs groupements (communes, EPCI, Départements…) ;</w:t>
      </w:r>
    </w:p>
    <w:p w14:paraId="5B39FB29" w14:textId="77777777" w:rsidR="005D29D7" w:rsidRPr="009325D3" w:rsidRDefault="005D29D7" w:rsidP="005D29D7">
      <w:pPr>
        <w:pStyle w:val="Sansinterligne"/>
        <w:jc w:val="both"/>
        <w:rPr>
          <w:rFonts w:ascii="Calibri" w:hAnsi="Calibri" w:cs="Calibri"/>
        </w:rPr>
      </w:pPr>
      <w:r w:rsidRPr="009325D3">
        <w:rPr>
          <w:rFonts w:ascii="Calibri" w:hAnsi="Calibri" w:cs="Calibri"/>
        </w:rPr>
        <w:t>- Association,</w:t>
      </w:r>
    </w:p>
    <w:p w14:paraId="5A654423" w14:textId="77777777" w:rsidR="005D29D7" w:rsidRPr="009325D3" w:rsidRDefault="005D29D7" w:rsidP="005D29D7">
      <w:pPr>
        <w:pStyle w:val="Sansinterligne"/>
        <w:jc w:val="both"/>
        <w:rPr>
          <w:rFonts w:ascii="Calibri" w:hAnsi="Calibri" w:cs="Calibri"/>
        </w:rPr>
      </w:pPr>
      <w:r w:rsidRPr="009325D3">
        <w:rPr>
          <w:rFonts w:ascii="Calibri" w:hAnsi="Calibri" w:cs="Calibri"/>
        </w:rPr>
        <w:t>- Etablissements publics.</w:t>
      </w:r>
      <w:r w:rsidRPr="009325D3">
        <w:rPr>
          <w:rFonts w:ascii="Calibri" w:hAnsi="Calibri" w:cs="Calibri"/>
        </w:rPr>
        <w:tab/>
      </w:r>
    </w:p>
    <w:p w14:paraId="79F3D04C" w14:textId="77777777" w:rsidR="005D29D7" w:rsidRPr="009325D3" w:rsidRDefault="005D29D7" w:rsidP="005D29D7">
      <w:pPr>
        <w:pStyle w:val="Sansinterligne"/>
        <w:jc w:val="both"/>
        <w:rPr>
          <w:rFonts w:ascii="Calibri" w:hAnsi="Calibri" w:cs="Calibri"/>
        </w:rPr>
      </w:pPr>
    </w:p>
    <w:p w14:paraId="198AEECB" w14:textId="77777777" w:rsidR="005D29D7" w:rsidRPr="009325D3" w:rsidRDefault="005D29D7" w:rsidP="005D29D7">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01F7ACE7" w14:textId="77777777" w:rsidR="005D29D7" w:rsidRPr="009325D3" w:rsidRDefault="005D29D7" w:rsidP="005D29D7">
      <w:pPr>
        <w:pStyle w:val="Sansinterligne"/>
        <w:jc w:val="both"/>
        <w:rPr>
          <w:rFonts w:ascii="Calibri" w:hAnsi="Calibri" w:cs="Calibri"/>
        </w:rPr>
      </w:pPr>
    </w:p>
    <w:p w14:paraId="15B0D484" w14:textId="77777777" w:rsidR="005D29D7" w:rsidRPr="009325D3" w:rsidRDefault="005D29D7" w:rsidP="005D29D7">
      <w:pPr>
        <w:pStyle w:val="Sansinterligne"/>
        <w:jc w:val="both"/>
        <w:rPr>
          <w:rFonts w:ascii="Calibri" w:hAnsi="Calibri" w:cs="Calibri"/>
        </w:rPr>
      </w:pPr>
      <w:r w:rsidRPr="009325D3">
        <w:rPr>
          <w:rFonts w:ascii="Calibri" w:hAnsi="Calibri" w:cs="Calibri"/>
        </w:rPr>
        <w:t>Prioritairement les secteurs situés sur des communes couvertes par des « sous-trames écologiques prioritaires » identifiés dans le SRADDET de la Région Centre-Val de Loire.</w:t>
      </w:r>
    </w:p>
    <w:p w14:paraId="3BD58115" w14:textId="77777777" w:rsidR="005D29D7" w:rsidRPr="009325D3" w:rsidRDefault="005D29D7" w:rsidP="005D29D7">
      <w:pPr>
        <w:pStyle w:val="Sansinterligne"/>
        <w:jc w:val="both"/>
        <w:rPr>
          <w:rFonts w:ascii="Calibri" w:hAnsi="Calibri" w:cs="Calibri"/>
        </w:rPr>
      </w:pPr>
    </w:p>
    <w:p w14:paraId="08C5C4CB" w14:textId="77777777" w:rsidR="005D29D7" w:rsidRPr="009325D3" w:rsidRDefault="005D29D7" w:rsidP="005D29D7">
      <w:pPr>
        <w:pStyle w:val="Sansinterligne"/>
        <w:jc w:val="center"/>
        <w:rPr>
          <w:rFonts w:ascii="Calibri" w:hAnsi="Calibri" w:cs="Calibri"/>
          <w:b/>
          <w:bCs/>
          <w:color w:val="4472C4" w:themeColor="accent1"/>
          <w:sz w:val="28"/>
          <w:szCs w:val="28"/>
        </w:rPr>
      </w:pPr>
      <w:r w:rsidRPr="009325D3">
        <w:rPr>
          <w:rFonts w:ascii="Calibri" w:hAnsi="Calibri" w:cs="Calibri"/>
          <w:b/>
          <w:bCs/>
          <w:color w:val="4472C4" w:themeColor="accent1"/>
          <w:sz w:val="28"/>
          <w:szCs w:val="28"/>
        </w:rPr>
        <w:t>(</w:t>
      </w:r>
      <w:r w:rsidRPr="009325D3">
        <w:rPr>
          <w:rFonts w:ascii="Calibri" w:hAnsi="Calibri" w:cs="Calibri"/>
          <w:b/>
          <w:bCs/>
          <w:i/>
          <w:iCs/>
          <w:color w:val="4472C4" w:themeColor="accent1"/>
          <w:sz w:val="28"/>
          <w:szCs w:val="28"/>
        </w:rPr>
        <w:t>Cf.</w:t>
      </w:r>
      <w:r w:rsidRPr="009325D3">
        <w:rPr>
          <w:rFonts w:ascii="Calibri" w:hAnsi="Calibri" w:cs="Calibri"/>
          <w:b/>
          <w:bCs/>
          <w:color w:val="4472C4" w:themeColor="accent1"/>
          <w:sz w:val="28"/>
          <w:szCs w:val="28"/>
        </w:rPr>
        <w:t xml:space="preserve"> carte en annexe)</w:t>
      </w:r>
    </w:p>
    <w:p w14:paraId="261B6222" w14:textId="77777777" w:rsidR="005D29D7" w:rsidRPr="009325D3" w:rsidRDefault="005D29D7" w:rsidP="005D29D7">
      <w:pPr>
        <w:pStyle w:val="Sansinterligne"/>
        <w:jc w:val="both"/>
        <w:rPr>
          <w:rFonts w:ascii="Calibri" w:hAnsi="Calibri" w:cs="Calibri"/>
        </w:rPr>
      </w:pPr>
    </w:p>
    <w:p w14:paraId="039089A6" w14:textId="77777777" w:rsidR="005D29D7" w:rsidRPr="009325D3" w:rsidRDefault="005D29D7" w:rsidP="005D29D7">
      <w:pPr>
        <w:pStyle w:val="Sansinterligne"/>
        <w:jc w:val="both"/>
        <w:rPr>
          <w:rFonts w:ascii="Calibri" w:hAnsi="Calibri" w:cs="Calibri"/>
        </w:rPr>
      </w:pPr>
      <w:r w:rsidRPr="009325D3">
        <w:rPr>
          <w:rFonts w:ascii="Calibri" w:hAnsi="Calibri" w:cs="Calibri"/>
        </w:rPr>
        <w:t>Les études, suivis et opérations d’amélioration des connaissances sur la biodiversité régionale ne sont pas soumis à des critères de localisation géographique pour être éligibles.</w:t>
      </w:r>
    </w:p>
    <w:p w14:paraId="5AFD49DE" w14:textId="77777777" w:rsidR="005D29D7" w:rsidRPr="009325D3" w:rsidRDefault="005D29D7" w:rsidP="005D29D7">
      <w:pPr>
        <w:pStyle w:val="Sansinterligne"/>
        <w:jc w:val="both"/>
        <w:rPr>
          <w:rFonts w:ascii="Calibri" w:hAnsi="Calibri" w:cs="Calibri"/>
        </w:rPr>
      </w:pPr>
    </w:p>
    <w:p w14:paraId="4207BC10" w14:textId="77777777" w:rsidR="005D29D7" w:rsidRPr="009325D3" w:rsidRDefault="005D29D7" w:rsidP="005D29D7">
      <w:pPr>
        <w:pStyle w:val="Sansinterligne"/>
        <w:jc w:val="both"/>
        <w:rPr>
          <w:rFonts w:ascii="Calibri" w:hAnsi="Calibri" w:cs="Calibri"/>
        </w:rPr>
      </w:pPr>
    </w:p>
    <w:p w14:paraId="3DC699AA" w14:textId="77777777" w:rsidR="005D29D7" w:rsidRPr="009325D3" w:rsidRDefault="005D29D7" w:rsidP="005D29D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0701DF29" w14:textId="77777777" w:rsidR="005D29D7" w:rsidRPr="009325D3" w:rsidRDefault="005D29D7" w:rsidP="005D29D7">
      <w:pPr>
        <w:pStyle w:val="Sansinterligne"/>
        <w:ind w:firstLine="708"/>
        <w:jc w:val="both"/>
        <w:rPr>
          <w:rFonts w:ascii="Calibri" w:hAnsi="Calibri" w:cs="Calibri"/>
          <w:b/>
          <w:bCs/>
          <w:color w:val="002060"/>
        </w:rPr>
      </w:pPr>
    </w:p>
    <w:p w14:paraId="6DDAD78C" w14:textId="77777777" w:rsidR="005D29D7" w:rsidRPr="009325D3" w:rsidRDefault="005D29D7" w:rsidP="005D29D7">
      <w:pPr>
        <w:pStyle w:val="Sansinterligne"/>
        <w:jc w:val="both"/>
        <w:rPr>
          <w:rFonts w:ascii="Calibri" w:hAnsi="Calibri" w:cs="Calibri"/>
        </w:rPr>
      </w:pPr>
      <w:r w:rsidRPr="009325D3">
        <w:rPr>
          <w:rFonts w:ascii="Calibri" w:hAnsi="Calibri" w:cs="Calibri"/>
        </w:rPr>
        <w:t>L’opération doit répondre à l’un des plans d’actions de la Stratégie régionale pour la biodiversité ou aux plans d’actions pour la biodiversité en région Centre-Val de Loire.</w:t>
      </w:r>
    </w:p>
    <w:p w14:paraId="7F8C03C7" w14:textId="77777777" w:rsidR="005D29D7" w:rsidRPr="009325D3" w:rsidRDefault="005D29D7" w:rsidP="005D29D7">
      <w:pPr>
        <w:pStyle w:val="Sansinterligne"/>
        <w:jc w:val="both"/>
        <w:rPr>
          <w:rFonts w:ascii="Calibri" w:hAnsi="Calibri" w:cs="Calibri"/>
        </w:rPr>
      </w:pPr>
    </w:p>
    <w:p w14:paraId="3979D51E" w14:textId="77777777" w:rsidR="005D29D7" w:rsidRPr="009325D3" w:rsidRDefault="005D29D7" w:rsidP="005D29D7">
      <w:pPr>
        <w:pStyle w:val="Sansinterligne"/>
        <w:jc w:val="both"/>
        <w:rPr>
          <w:rFonts w:ascii="Calibri" w:hAnsi="Calibri" w:cs="Calibri"/>
        </w:rPr>
      </w:pPr>
    </w:p>
    <w:p w14:paraId="11F1A210" w14:textId="77777777" w:rsidR="005D29D7" w:rsidRPr="009325D3" w:rsidRDefault="005D29D7" w:rsidP="005D29D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DE30232" w14:textId="77777777" w:rsidR="005D29D7" w:rsidRPr="009325D3" w:rsidRDefault="005D29D7" w:rsidP="005D29D7">
      <w:pPr>
        <w:pStyle w:val="Sansinterligne"/>
        <w:jc w:val="both"/>
        <w:rPr>
          <w:rFonts w:ascii="Calibri" w:hAnsi="Calibri" w:cs="Calibri"/>
        </w:rPr>
      </w:pPr>
    </w:p>
    <w:p w14:paraId="08D835D3" w14:textId="77777777" w:rsidR="005D29D7" w:rsidRPr="009325D3" w:rsidRDefault="005D29D7" w:rsidP="005D29D7">
      <w:pPr>
        <w:pStyle w:val="Sansinterligne"/>
        <w:jc w:val="both"/>
        <w:rPr>
          <w:rFonts w:ascii="Calibri" w:hAnsi="Calibri" w:cs="Calibri"/>
        </w:rPr>
      </w:pPr>
      <w:r w:rsidRPr="009325D3">
        <w:rPr>
          <w:rFonts w:ascii="Calibri" w:hAnsi="Calibri" w:cs="Calibri"/>
        </w:rPr>
        <w:t>Guichet (au fil de l’eau) ou Appel à projets / Appels à manifestation d’intérêt</w:t>
      </w:r>
    </w:p>
    <w:p w14:paraId="6995844A" w14:textId="77777777" w:rsidR="005D29D7" w:rsidRPr="009325D3" w:rsidRDefault="005D29D7" w:rsidP="005D29D7">
      <w:pPr>
        <w:pStyle w:val="Sansinterligne"/>
        <w:jc w:val="both"/>
        <w:rPr>
          <w:rFonts w:ascii="Calibri" w:hAnsi="Calibri" w:cs="Calibri"/>
        </w:rPr>
      </w:pPr>
    </w:p>
    <w:p w14:paraId="28010445" w14:textId="77777777" w:rsidR="005D29D7" w:rsidRPr="009325D3" w:rsidRDefault="005D29D7" w:rsidP="005D29D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4A0D886F" w14:textId="77777777" w:rsidR="005D29D7" w:rsidRPr="009325D3" w:rsidRDefault="005D29D7" w:rsidP="005D29D7">
      <w:pPr>
        <w:pStyle w:val="Sansinterligne"/>
        <w:jc w:val="both"/>
        <w:rPr>
          <w:rFonts w:ascii="Calibri" w:hAnsi="Calibri" w:cs="Calibri"/>
        </w:rPr>
      </w:pPr>
    </w:p>
    <w:p w14:paraId="0437DB1A" w14:textId="77777777" w:rsidR="005D29D7" w:rsidRPr="009325D3" w:rsidRDefault="005D29D7" w:rsidP="005D29D7">
      <w:pPr>
        <w:pStyle w:val="Sansinterligne"/>
        <w:jc w:val="both"/>
        <w:rPr>
          <w:rFonts w:ascii="Calibri" w:hAnsi="Calibri" w:cs="Calibri"/>
        </w:rPr>
      </w:pPr>
      <w:r w:rsidRPr="009325D3">
        <w:rPr>
          <w:rFonts w:ascii="Calibri" w:hAnsi="Calibri" w:cs="Calibri"/>
        </w:rPr>
        <w:t>2.7 Cadre d'action prioritaire pour les mesures de conservation nécessaires faisant l'objet d'un cofinancement de la part de l'Union</w:t>
      </w:r>
    </w:p>
    <w:p w14:paraId="6DDD2093" w14:textId="77777777" w:rsidR="005D29D7" w:rsidRDefault="005D29D7" w:rsidP="005D29D7">
      <w:pPr>
        <w:pStyle w:val="Sansinterligne"/>
        <w:jc w:val="both"/>
        <w:rPr>
          <w:rFonts w:ascii="Calibri" w:hAnsi="Calibri" w:cs="Calibri"/>
        </w:rPr>
      </w:pPr>
    </w:p>
    <w:p w14:paraId="76FCAF56" w14:textId="77777777" w:rsidR="005D29D7" w:rsidRPr="009325D3" w:rsidRDefault="005D29D7" w:rsidP="005D29D7">
      <w:pPr>
        <w:pStyle w:val="Sansinterligne"/>
        <w:jc w:val="both"/>
        <w:rPr>
          <w:rFonts w:ascii="Calibri" w:hAnsi="Calibri" w:cs="Calibri"/>
        </w:rPr>
      </w:pPr>
    </w:p>
    <w:p w14:paraId="56DF6835" w14:textId="77777777" w:rsidR="005D29D7" w:rsidRPr="009325D3" w:rsidRDefault="005D29D7" w:rsidP="005D29D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53AD9DBB" w14:textId="77777777" w:rsidR="005D29D7" w:rsidRPr="009325D3" w:rsidRDefault="005D29D7" w:rsidP="005D29D7">
      <w:pPr>
        <w:pStyle w:val="Sansinterligne"/>
        <w:jc w:val="both"/>
        <w:rPr>
          <w:rFonts w:ascii="Calibri" w:hAnsi="Calibri" w:cs="Calibri"/>
        </w:rPr>
      </w:pPr>
    </w:p>
    <w:p w14:paraId="4688FF07" w14:textId="77777777" w:rsidR="005D29D7" w:rsidRPr="009325D3" w:rsidRDefault="005D29D7" w:rsidP="005D29D7">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10AC7F32" w14:textId="77777777" w:rsidR="005D29D7" w:rsidRPr="009325D3" w:rsidRDefault="005D29D7" w:rsidP="005D29D7">
      <w:pPr>
        <w:pStyle w:val="Sansinterligne"/>
        <w:jc w:val="both"/>
        <w:rPr>
          <w:rFonts w:ascii="Calibri" w:hAnsi="Calibri" w:cs="Calibri"/>
        </w:rPr>
      </w:pPr>
    </w:p>
    <w:p w14:paraId="449857DD" w14:textId="77777777" w:rsidR="005D29D7" w:rsidRPr="009325D3" w:rsidRDefault="005D29D7" w:rsidP="005D29D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236F83B1" w14:textId="77777777" w:rsidR="005D29D7" w:rsidRPr="009325D3" w:rsidRDefault="005D29D7" w:rsidP="005D29D7">
      <w:pPr>
        <w:pStyle w:val="Sansinterligne"/>
        <w:jc w:val="both"/>
        <w:rPr>
          <w:rFonts w:ascii="Calibri" w:hAnsi="Calibri" w:cs="Calibri"/>
        </w:rPr>
      </w:pPr>
    </w:p>
    <w:p w14:paraId="081BDEF1" w14:textId="77777777" w:rsidR="005D29D7" w:rsidRPr="009325D3" w:rsidRDefault="005D29D7" w:rsidP="005D29D7">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30447B86"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E439174"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112FFDD0"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7928D2E6"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d’«aide d'État» visée à l'article 107, paragraphe 1, du traité sur le fonctionnement de l'Union européenne, C/2016/2946, OJ C 262, 19.7.2016, p. 1–50 .</w:t>
      </w:r>
    </w:p>
    <w:p w14:paraId="2E2FC68E" w14:textId="77777777" w:rsidR="005D29D7" w:rsidRPr="009325D3" w:rsidRDefault="005D29D7" w:rsidP="005D29D7">
      <w:pPr>
        <w:pStyle w:val="Sansinterligne"/>
        <w:jc w:val="both"/>
        <w:rPr>
          <w:rFonts w:ascii="Calibri" w:hAnsi="Calibri" w:cs="Calibri"/>
        </w:rPr>
      </w:pPr>
      <w:r w:rsidRPr="009325D3">
        <w:rPr>
          <w:rFonts w:ascii="Calibri" w:hAnsi="Calibri" w:cs="Calibri"/>
        </w:rPr>
        <w:t xml:space="preserve">  </w:t>
      </w:r>
    </w:p>
    <w:p w14:paraId="79E0F8F1" w14:textId="77777777" w:rsidR="005D29D7" w:rsidRPr="009325D3" w:rsidRDefault="005D29D7" w:rsidP="005D29D7">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46BB4111"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18BC0B69"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010E73A5" w14:textId="77777777" w:rsidR="005D29D7" w:rsidRPr="009325D3" w:rsidRDefault="005D29D7" w:rsidP="005D29D7">
      <w:pPr>
        <w:pStyle w:val="Sansinterligne"/>
        <w:jc w:val="both"/>
        <w:rPr>
          <w:rFonts w:ascii="Calibri" w:hAnsi="Calibri" w:cs="Calibri"/>
        </w:rPr>
      </w:pPr>
      <w:r w:rsidRPr="009325D3">
        <w:rPr>
          <w:rFonts w:ascii="Calibri" w:hAnsi="Calibri" w:cs="Calibri"/>
        </w:rPr>
        <w:t xml:space="preserve">  </w:t>
      </w:r>
    </w:p>
    <w:p w14:paraId="227732C5" w14:textId="77777777" w:rsidR="005D29D7" w:rsidRPr="009325D3" w:rsidRDefault="005D29D7" w:rsidP="005D29D7">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51E38163"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1FE7A5CB"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14D0316B"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12049317" w14:textId="77777777" w:rsidR="005D29D7" w:rsidRPr="009325D3" w:rsidRDefault="005D29D7" w:rsidP="005D29D7">
      <w:pPr>
        <w:pStyle w:val="Sansinterligne"/>
        <w:jc w:val="both"/>
        <w:rPr>
          <w:rFonts w:ascii="Calibri" w:hAnsi="Calibri" w:cs="Calibri"/>
        </w:rPr>
      </w:pPr>
    </w:p>
    <w:p w14:paraId="548B9C31" w14:textId="77777777" w:rsidR="005D29D7" w:rsidRPr="009325D3" w:rsidRDefault="005D29D7" w:rsidP="005D29D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0AF3DE8B" w14:textId="77777777" w:rsidR="005D29D7" w:rsidRPr="009325D3" w:rsidRDefault="005D29D7" w:rsidP="005D29D7">
      <w:pPr>
        <w:pStyle w:val="Sansinterligne"/>
        <w:jc w:val="both"/>
        <w:rPr>
          <w:rFonts w:ascii="Calibri" w:hAnsi="Calibri" w:cs="Calibri"/>
        </w:rPr>
      </w:pPr>
    </w:p>
    <w:p w14:paraId="48AD2CB3" w14:textId="77777777" w:rsidR="005D29D7" w:rsidRPr="009325D3" w:rsidRDefault="005D29D7" w:rsidP="005D29D7">
      <w:pPr>
        <w:pStyle w:val="Sansinterligne"/>
        <w:numPr>
          <w:ilvl w:val="0"/>
          <w:numId w:val="41"/>
        </w:numPr>
        <w:jc w:val="both"/>
        <w:rPr>
          <w:rFonts w:ascii="Calibri" w:hAnsi="Calibri" w:cs="Calibri"/>
        </w:rPr>
      </w:pPr>
      <w:r w:rsidRPr="009325D3">
        <w:rPr>
          <w:rFonts w:ascii="Calibri" w:hAnsi="Calibri" w:cs="Calibri"/>
        </w:rPr>
        <w:t>Dépenses de personnels dédiés à l’opération,</w:t>
      </w:r>
    </w:p>
    <w:p w14:paraId="36989D54" w14:textId="77777777" w:rsidR="005D29D7" w:rsidRPr="009325D3" w:rsidRDefault="005D29D7" w:rsidP="005D29D7">
      <w:pPr>
        <w:pStyle w:val="Sansinterligne"/>
        <w:numPr>
          <w:ilvl w:val="0"/>
          <w:numId w:val="41"/>
        </w:numPr>
        <w:jc w:val="both"/>
        <w:rPr>
          <w:rFonts w:ascii="Calibri" w:hAnsi="Calibri" w:cs="Calibri"/>
        </w:rPr>
      </w:pPr>
      <w:r w:rsidRPr="009325D3">
        <w:rPr>
          <w:rFonts w:ascii="Calibri" w:hAnsi="Calibri" w:cs="Calibri"/>
        </w:rPr>
        <w:t>Dépenses de prestations externes,</w:t>
      </w:r>
    </w:p>
    <w:p w14:paraId="17D8723D" w14:textId="77777777" w:rsidR="005D29D7" w:rsidRPr="009325D3" w:rsidRDefault="005D29D7" w:rsidP="005D29D7">
      <w:pPr>
        <w:pStyle w:val="Sansinterligne"/>
        <w:numPr>
          <w:ilvl w:val="0"/>
          <w:numId w:val="41"/>
        </w:numPr>
        <w:jc w:val="both"/>
        <w:rPr>
          <w:rFonts w:ascii="Calibri" w:hAnsi="Calibri" w:cs="Calibri"/>
        </w:rPr>
      </w:pPr>
      <w:r w:rsidRPr="009325D3">
        <w:rPr>
          <w:rFonts w:ascii="Calibri" w:hAnsi="Calibri" w:cs="Calibri"/>
        </w:rPr>
        <w:t>Dépense d’acquisition,</w:t>
      </w:r>
    </w:p>
    <w:p w14:paraId="65A35604" w14:textId="77777777" w:rsidR="005D29D7" w:rsidRPr="009325D3" w:rsidRDefault="005D29D7" w:rsidP="005D29D7">
      <w:pPr>
        <w:pStyle w:val="Sansinterligne"/>
        <w:numPr>
          <w:ilvl w:val="0"/>
          <w:numId w:val="41"/>
        </w:numPr>
        <w:jc w:val="both"/>
        <w:rPr>
          <w:rFonts w:ascii="Calibri" w:hAnsi="Calibri" w:cs="Calibri"/>
        </w:rPr>
      </w:pPr>
      <w:r w:rsidRPr="009325D3">
        <w:rPr>
          <w:rFonts w:ascii="Calibri" w:hAnsi="Calibri" w:cs="Calibri"/>
        </w:rPr>
        <w:t>Dépense d’investissement,</w:t>
      </w:r>
    </w:p>
    <w:p w14:paraId="7CE5EF1C" w14:textId="696995B4" w:rsidR="005D29D7" w:rsidRPr="004F6093" w:rsidRDefault="005D29D7" w:rsidP="004F6093">
      <w:pPr>
        <w:pStyle w:val="Sansinterligne"/>
        <w:numPr>
          <w:ilvl w:val="0"/>
          <w:numId w:val="41"/>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1C1312F0" w14:textId="77777777" w:rsidR="005D29D7" w:rsidRPr="009325D3" w:rsidRDefault="005D29D7" w:rsidP="005D29D7">
      <w:pPr>
        <w:pStyle w:val="Sansinterligne"/>
        <w:jc w:val="both"/>
        <w:rPr>
          <w:rFonts w:ascii="Calibri" w:hAnsi="Calibri" w:cs="Calibri"/>
        </w:rPr>
      </w:pPr>
      <w:r w:rsidRPr="00920CD1">
        <w:rPr>
          <w:rFonts w:ascii="Calibri" w:hAnsi="Calibri" w:cs="Calibri"/>
          <w:u w:val="single"/>
        </w:rPr>
        <w:t>Dépenses éligibles par type d’opération</w:t>
      </w:r>
      <w:r w:rsidRPr="009325D3">
        <w:rPr>
          <w:rFonts w:ascii="Calibri" w:hAnsi="Calibri" w:cs="Calibri"/>
        </w:rPr>
        <w:t xml:space="preserve"> : </w:t>
      </w:r>
    </w:p>
    <w:p w14:paraId="22CA4E24" w14:textId="77777777" w:rsidR="005D29D7" w:rsidRPr="009325D3" w:rsidRDefault="005D29D7" w:rsidP="005D29D7">
      <w:pPr>
        <w:pStyle w:val="Sansinterligne"/>
        <w:jc w:val="both"/>
        <w:rPr>
          <w:rFonts w:ascii="Calibri" w:hAnsi="Calibri" w:cs="Calibri"/>
        </w:rPr>
      </w:pPr>
    </w:p>
    <w:tbl>
      <w:tblPr>
        <w:tblStyle w:val="Grilledutableau"/>
        <w:tblW w:w="10485" w:type="dxa"/>
        <w:jc w:val="center"/>
        <w:tblLayout w:type="fixed"/>
        <w:tblLook w:val="04A0" w:firstRow="1" w:lastRow="0" w:firstColumn="1" w:lastColumn="0" w:noHBand="0" w:noVBand="1"/>
      </w:tblPr>
      <w:tblGrid>
        <w:gridCol w:w="2689"/>
        <w:gridCol w:w="1417"/>
        <w:gridCol w:w="1276"/>
        <w:gridCol w:w="1843"/>
        <w:gridCol w:w="1559"/>
        <w:gridCol w:w="1701"/>
      </w:tblGrid>
      <w:tr w:rsidR="005D29D7" w:rsidRPr="009325D3" w14:paraId="19099BA4" w14:textId="77777777" w:rsidTr="000B288C">
        <w:trPr>
          <w:trHeight w:val="897"/>
          <w:jc w:val="center"/>
        </w:trPr>
        <w:tc>
          <w:tcPr>
            <w:tcW w:w="2689" w:type="dxa"/>
            <w:vAlign w:val="center"/>
          </w:tcPr>
          <w:p w14:paraId="46248375" w14:textId="77777777" w:rsidR="005D29D7" w:rsidRPr="009325D3" w:rsidRDefault="005D29D7" w:rsidP="000B288C">
            <w:pPr>
              <w:jc w:val="center"/>
              <w:rPr>
                <w:rFonts w:ascii="Calibri" w:hAnsi="Calibri" w:cs="Calibri"/>
                <w:szCs w:val="20"/>
              </w:rPr>
            </w:pPr>
          </w:p>
        </w:tc>
        <w:tc>
          <w:tcPr>
            <w:tcW w:w="1417" w:type="dxa"/>
            <w:vAlign w:val="center"/>
          </w:tcPr>
          <w:p w14:paraId="01D40B2E" w14:textId="77777777" w:rsidR="005D29D7" w:rsidRPr="009325D3" w:rsidRDefault="005D29D7" w:rsidP="000B288C">
            <w:pPr>
              <w:jc w:val="center"/>
              <w:rPr>
                <w:rFonts w:ascii="Calibri" w:hAnsi="Calibri" w:cs="Calibri"/>
                <w:szCs w:val="20"/>
              </w:rPr>
            </w:pPr>
            <w:r w:rsidRPr="009325D3">
              <w:rPr>
                <w:rFonts w:ascii="Calibri" w:hAnsi="Calibri" w:cs="Calibri"/>
                <w:szCs w:val="20"/>
              </w:rPr>
              <w:t>Amélioration des connaissances</w:t>
            </w:r>
          </w:p>
        </w:tc>
        <w:tc>
          <w:tcPr>
            <w:tcW w:w="1276" w:type="dxa"/>
            <w:vAlign w:val="center"/>
          </w:tcPr>
          <w:p w14:paraId="3EBD97DD" w14:textId="77777777" w:rsidR="005D29D7" w:rsidRPr="009325D3" w:rsidRDefault="005D29D7" w:rsidP="000B288C">
            <w:pPr>
              <w:jc w:val="center"/>
              <w:rPr>
                <w:rFonts w:ascii="Calibri" w:hAnsi="Calibri" w:cs="Calibri"/>
                <w:szCs w:val="20"/>
              </w:rPr>
            </w:pPr>
            <w:r w:rsidRPr="009325D3">
              <w:rPr>
                <w:rFonts w:ascii="Calibri" w:hAnsi="Calibri" w:cs="Calibri"/>
                <w:szCs w:val="20"/>
              </w:rPr>
              <w:t>Traitement obstacles écologiques</w:t>
            </w:r>
          </w:p>
        </w:tc>
        <w:tc>
          <w:tcPr>
            <w:tcW w:w="1843" w:type="dxa"/>
            <w:vAlign w:val="center"/>
          </w:tcPr>
          <w:p w14:paraId="0A77BCF4" w14:textId="77777777" w:rsidR="005D29D7" w:rsidRPr="009325D3" w:rsidRDefault="005D29D7" w:rsidP="000B288C">
            <w:pPr>
              <w:jc w:val="center"/>
              <w:rPr>
                <w:rFonts w:ascii="Calibri" w:hAnsi="Calibri" w:cs="Calibri"/>
                <w:szCs w:val="20"/>
              </w:rPr>
            </w:pPr>
            <w:r w:rsidRPr="009325D3">
              <w:rPr>
                <w:rFonts w:ascii="Calibri" w:hAnsi="Calibri" w:cs="Calibri"/>
                <w:szCs w:val="20"/>
              </w:rPr>
              <w:t>Plans d’actions « continuités écologiques »</w:t>
            </w:r>
          </w:p>
        </w:tc>
        <w:tc>
          <w:tcPr>
            <w:tcW w:w="1559" w:type="dxa"/>
            <w:vAlign w:val="center"/>
          </w:tcPr>
          <w:p w14:paraId="2E988195" w14:textId="77777777" w:rsidR="005D29D7" w:rsidRPr="009325D3" w:rsidRDefault="005D29D7" w:rsidP="000B288C">
            <w:pPr>
              <w:jc w:val="center"/>
              <w:rPr>
                <w:rFonts w:ascii="Calibri" w:hAnsi="Calibri" w:cs="Calibri"/>
                <w:szCs w:val="20"/>
              </w:rPr>
            </w:pPr>
            <w:r w:rsidRPr="009325D3">
              <w:rPr>
                <w:rFonts w:ascii="Calibri" w:hAnsi="Calibri" w:cs="Calibri"/>
                <w:szCs w:val="20"/>
              </w:rPr>
              <w:t>Travaux renaturation</w:t>
            </w:r>
          </w:p>
        </w:tc>
        <w:tc>
          <w:tcPr>
            <w:tcW w:w="1701" w:type="dxa"/>
            <w:vAlign w:val="center"/>
          </w:tcPr>
          <w:p w14:paraId="2BAFF9A9" w14:textId="77777777" w:rsidR="005D29D7" w:rsidRPr="009325D3" w:rsidRDefault="005D29D7" w:rsidP="000B288C">
            <w:pPr>
              <w:jc w:val="center"/>
              <w:rPr>
                <w:rFonts w:ascii="Calibri" w:hAnsi="Calibri" w:cs="Calibri"/>
                <w:szCs w:val="20"/>
              </w:rPr>
            </w:pPr>
            <w:r w:rsidRPr="009325D3">
              <w:rPr>
                <w:rFonts w:ascii="Calibri" w:hAnsi="Calibri" w:cs="Calibri"/>
                <w:szCs w:val="20"/>
              </w:rPr>
              <w:t>Animation</w:t>
            </w:r>
          </w:p>
        </w:tc>
      </w:tr>
      <w:tr w:rsidR="005D29D7" w:rsidRPr="009325D3" w14:paraId="4D678F18" w14:textId="77777777" w:rsidTr="000B288C">
        <w:trPr>
          <w:trHeight w:val="308"/>
          <w:jc w:val="center"/>
        </w:trPr>
        <w:tc>
          <w:tcPr>
            <w:tcW w:w="2689" w:type="dxa"/>
            <w:vAlign w:val="center"/>
          </w:tcPr>
          <w:p w14:paraId="20A4B4DA" w14:textId="77777777" w:rsidR="005D29D7" w:rsidRPr="009325D3" w:rsidRDefault="005D29D7" w:rsidP="000B288C">
            <w:pPr>
              <w:jc w:val="center"/>
              <w:rPr>
                <w:rFonts w:ascii="Calibri" w:hAnsi="Calibri" w:cs="Calibri"/>
                <w:szCs w:val="20"/>
              </w:rPr>
            </w:pPr>
            <w:r w:rsidRPr="009325D3">
              <w:rPr>
                <w:rFonts w:ascii="Calibri" w:hAnsi="Calibri" w:cs="Calibri"/>
                <w:szCs w:val="20"/>
              </w:rPr>
              <w:t>Dépenses de personnel</w:t>
            </w:r>
          </w:p>
        </w:tc>
        <w:tc>
          <w:tcPr>
            <w:tcW w:w="1417" w:type="dxa"/>
            <w:vAlign w:val="center"/>
          </w:tcPr>
          <w:p w14:paraId="69BAD39A"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276" w:type="dxa"/>
            <w:vAlign w:val="center"/>
          </w:tcPr>
          <w:p w14:paraId="3F54B4EE" w14:textId="77777777" w:rsidR="005D29D7" w:rsidRPr="009325D3" w:rsidRDefault="005D29D7" w:rsidP="000B288C">
            <w:pPr>
              <w:jc w:val="center"/>
              <w:rPr>
                <w:rFonts w:ascii="Calibri" w:hAnsi="Calibri" w:cs="Calibri"/>
                <w:szCs w:val="20"/>
              </w:rPr>
            </w:pPr>
          </w:p>
        </w:tc>
        <w:tc>
          <w:tcPr>
            <w:tcW w:w="1843" w:type="dxa"/>
            <w:vAlign w:val="center"/>
          </w:tcPr>
          <w:p w14:paraId="2FADDD36"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559" w:type="dxa"/>
            <w:vAlign w:val="center"/>
          </w:tcPr>
          <w:p w14:paraId="3C0C36C9"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701" w:type="dxa"/>
            <w:vAlign w:val="center"/>
          </w:tcPr>
          <w:p w14:paraId="3B9E9283"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r>
      <w:tr w:rsidR="005D29D7" w:rsidRPr="009325D3" w14:paraId="4D813482" w14:textId="77777777" w:rsidTr="000B288C">
        <w:trPr>
          <w:trHeight w:val="386"/>
          <w:jc w:val="center"/>
        </w:trPr>
        <w:tc>
          <w:tcPr>
            <w:tcW w:w="2689" w:type="dxa"/>
            <w:vAlign w:val="center"/>
          </w:tcPr>
          <w:p w14:paraId="18E96DF4" w14:textId="77777777" w:rsidR="005D29D7" w:rsidRPr="009325D3" w:rsidRDefault="005D29D7" w:rsidP="000B288C">
            <w:pPr>
              <w:jc w:val="center"/>
              <w:rPr>
                <w:rFonts w:ascii="Calibri" w:hAnsi="Calibri" w:cs="Calibri"/>
                <w:szCs w:val="20"/>
              </w:rPr>
            </w:pPr>
            <w:r w:rsidRPr="009325D3">
              <w:rPr>
                <w:rFonts w:ascii="Calibri" w:hAnsi="Calibri" w:cs="Calibri"/>
                <w:szCs w:val="20"/>
              </w:rPr>
              <w:t>Dépenses de prestations externes</w:t>
            </w:r>
          </w:p>
        </w:tc>
        <w:tc>
          <w:tcPr>
            <w:tcW w:w="1417" w:type="dxa"/>
            <w:vAlign w:val="center"/>
          </w:tcPr>
          <w:p w14:paraId="4E2BE223"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276" w:type="dxa"/>
            <w:vAlign w:val="center"/>
          </w:tcPr>
          <w:p w14:paraId="048F30E9"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843" w:type="dxa"/>
            <w:vAlign w:val="center"/>
          </w:tcPr>
          <w:p w14:paraId="0454061B"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559" w:type="dxa"/>
            <w:vAlign w:val="center"/>
          </w:tcPr>
          <w:p w14:paraId="267AFAC6"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701" w:type="dxa"/>
            <w:vAlign w:val="center"/>
          </w:tcPr>
          <w:p w14:paraId="56F343E9" w14:textId="77777777" w:rsidR="005D29D7" w:rsidRPr="009325D3" w:rsidRDefault="005D29D7" w:rsidP="000B288C">
            <w:pPr>
              <w:jc w:val="center"/>
              <w:rPr>
                <w:rFonts w:ascii="Calibri" w:hAnsi="Calibri" w:cs="Calibri"/>
                <w:szCs w:val="20"/>
              </w:rPr>
            </w:pPr>
          </w:p>
        </w:tc>
      </w:tr>
      <w:tr w:rsidR="005D29D7" w:rsidRPr="009325D3" w14:paraId="78A3FA31" w14:textId="77777777" w:rsidTr="000B288C">
        <w:trPr>
          <w:trHeight w:val="468"/>
          <w:jc w:val="center"/>
        </w:trPr>
        <w:tc>
          <w:tcPr>
            <w:tcW w:w="2689" w:type="dxa"/>
            <w:vAlign w:val="center"/>
          </w:tcPr>
          <w:p w14:paraId="70C84A85" w14:textId="77777777" w:rsidR="005D29D7" w:rsidRPr="009325D3" w:rsidRDefault="005D29D7" w:rsidP="000B288C">
            <w:pPr>
              <w:jc w:val="center"/>
              <w:rPr>
                <w:rFonts w:ascii="Calibri" w:hAnsi="Calibri" w:cs="Calibri"/>
                <w:szCs w:val="20"/>
              </w:rPr>
            </w:pPr>
            <w:r w:rsidRPr="009325D3">
              <w:rPr>
                <w:rFonts w:ascii="Calibri" w:hAnsi="Calibri" w:cs="Calibri"/>
                <w:szCs w:val="20"/>
              </w:rPr>
              <w:t>Dépenses d’’acquisition</w:t>
            </w:r>
          </w:p>
        </w:tc>
        <w:tc>
          <w:tcPr>
            <w:tcW w:w="1417" w:type="dxa"/>
            <w:vAlign w:val="center"/>
          </w:tcPr>
          <w:p w14:paraId="4EDFD4B7" w14:textId="77777777" w:rsidR="005D29D7" w:rsidRPr="009325D3" w:rsidRDefault="005D29D7" w:rsidP="000B288C">
            <w:pPr>
              <w:jc w:val="center"/>
              <w:rPr>
                <w:rFonts w:ascii="Calibri" w:hAnsi="Calibri" w:cs="Calibri"/>
                <w:szCs w:val="20"/>
              </w:rPr>
            </w:pPr>
          </w:p>
        </w:tc>
        <w:tc>
          <w:tcPr>
            <w:tcW w:w="1276" w:type="dxa"/>
            <w:vAlign w:val="center"/>
          </w:tcPr>
          <w:p w14:paraId="7BF048D1"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843" w:type="dxa"/>
            <w:vAlign w:val="center"/>
          </w:tcPr>
          <w:p w14:paraId="4C26800C" w14:textId="77777777" w:rsidR="005D29D7" w:rsidRPr="009325D3" w:rsidRDefault="005D29D7" w:rsidP="000B288C">
            <w:pPr>
              <w:jc w:val="center"/>
              <w:rPr>
                <w:rFonts w:ascii="Calibri" w:hAnsi="Calibri" w:cs="Calibri"/>
                <w:szCs w:val="20"/>
              </w:rPr>
            </w:pPr>
          </w:p>
        </w:tc>
        <w:tc>
          <w:tcPr>
            <w:tcW w:w="1559" w:type="dxa"/>
            <w:vAlign w:val="center"/>
          </w:tcPr>
          <w:p w14:paraId="7C0B2B97"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701" w:type="dxa"/>
            <w:vAlign w:val="center"/>
          </w:tcPr>
          <w:p w14:paraId="53943AE3" w14:textId="77777777" w:rsidR="005D29D7" w:rsidRPr="009325D3" w:rsidRDefault="005D29D7" w:rsidP="000B288C">
            <w:pPr>
              <w:jc w:val="center"/>
              <w:rPr>
                <w:rFonts w:ascii="Calibri" w:hAnsi="Calibri" w:cs="Calibri"/>
                <w:szCs w:val="20"/>
              </w:rPr>
            </w:pPr>
          </w:p>
        </w:tc>
      </w:tr>
      <w:tr w:rsidR="005D29D7" w:rsidRPr="009325D3" w14:paraId="406CA58B" w14:textId="77777777" w:rsidTr="000B288C">
        <w:trPr>
          <w:trHeight w:val="390"/>
          <w:jc w:val="center"/>
        </w:trPr>
        <w:tc>
          <w:tcPr>
            <w:tcW w:w="2689" w:type="dxa"/>
            <w:vAlign w:val="center"/>
          </w:tcPr>
          <w:p w14:paraId="45C220F0" w14:textId="77777777" w:rsidR="005D29D7" w:rsidRPr="009325D3" w:rsidRDefault="005D29D7" w:rsidP="000B288C">
            <w:pPr>
              <w:jc w:val="center"/>
              <w:rPr>
                <w:rFonts w:ascii="Calibri" w:hAnsi="Calibri" w:cs="Calibri"/>
                <w:szCs w:val="20"/>
              </w:rPr>
            </w:pPr>
            <w:r w:rsidRPr="009325D3">
              <w:rPr>
                <w:rFonts w:ascii="Calibri" w:hAnsi="Calibri" w:cs="Calibri"/>
                <w:szCs w:val="20"/>
              </w:rPr>
              <w:t>Dépenses d’’investissement</w:t>
            </w:r>
          </w:p>
        </w:tc>
        <w:tc>
          <w:tcPr>
            <w:tcW w:w="1417" w:type="dxa"/>
            <w:vAlign w:val="center"/>
          </w:tcPr>
          <w:p w14:paraId="437669D5" w14:textId="77777777" w:rsidR="005D29D7" w:rsidRPr="009325D3" w:rsidRDefault="005D29D7" w:rsidP="000B288C">
            <w:pPr>
              <w:jc w:val="center"/>
              <w:rPr>
                <w:rFonts w:ascii="Calibri" w:hAnsi="Calibri" w:cs="Calibri"/>
                <w:szCs w:val="20"/>
              </w:rPr>
            </w:pPr>
          </w:p>
        </w:tc>
        <w:tc>
          <w:tcPr>
            <w:tcW w:w="1276" w:type="dxa"/>
            <w:vAlign w:val="center"/>
          </w:tcPr>
          <w:p w14:paraId="30C6F7A2"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843" w:type="dxa"/>
            <w:vAlign w:val="center"/>
          </w:tcPr>
          <w:p w14:paraId="5C16C0DD" w14:textId="77777777" w:rsidR="005D29D7" w:rsidRPr="009325D3" w:rsidRDefault="005D29D7" w:rsidP="000B288C">
            <w:pPr>
              <w:jc w:val="center"/>
              <w:rPr>
                <w:rFonts w:ascii="Calibri" w:hAnsi="Calibri" w:cs="Calibri"/>
                <w:szCs w:val="20"/>
              </w:rPr>
            </w:pPr>
          </w:p>
        </w:tc>
        <w:tc>
          <w:tcPr>
            <w:tcW w:w="1559" w:type="dxa"/>
            <w:vAlign w:val="center"/>
          </w:tcPr>
          <w:p w14:paraId="6FF1D545" w14:textId="77777777" w:rsidR="005D29D7" w:rsidRPr="009325D3" w:rsidRDefault="005D29D7" w:rsidP="000B288C">
            <w:pPr>
              <w:jc w:val="center"/>
              <w:rPr>
                <w:rFonts w:ascii="Calibri" w:hAnsi="Calibri" w:cs="Calibri"/>
                <w:szCs w:val="20"/>
              </w:rPr>
            </w:pPr>
            <w:r w:rsidRPr="009325D3">
              <w:rPr>
                <w:rFonts w:ascii="Calibri" w:hAnsi="Calibri" w:cs="Calibri"/>
                <w:szCs w:val="20"/>
              </w:rPr>
              <w:t>X</w:t>
            </w:r>
          </w:p>
        </w:tc>
        <w:tc>
          <w:tcPr>
            <w:tcW w:w="1701" w:type="dxa"/>
            <w:vAlign w:val="center"/>
          </w:tcPr>
          <w:p w14:paraId="2B8FA2FE" w14:textId="77777777" w:rsidR="005D29D7" w:rsidRPr="009325D3" w:rsidRDefault="005D29D7" w:rsidP="000B288C">
            <w:pPr>
              <w:jc w:val="center"/>
              <w:rPr>
                <w:rFonts w:ascii="Calibri" w:hAnsi="Calibri" w:cs="Calibri"/>
                <w:szCs w:val="20"/>
              </w:rPr>
            </w:pPr>
          </w:p>
        </w:tc>
      </w:tr>
    </w:tbl>
    <w:p w14:paraId="5A6E2D40" w14:textId="3A57AA12" w:rsidR="005D29D7" w:rsidRPr="004F6093" w:rsidRDefault="005D29D7" w:rsidP="004F6093">
      <w:pPr>
        <w:spacing w:after="160" w:line="259" w:lineRule="auto"/>
        <w:jc w:val="left"/>
        <w:rPr>
          <w:rFonts w:ascii="Calibri" w:hAnsi="Calibri" w:cs="Calibri"/>
          <w:sz w:val="22"/>
        </w:rPr>
      </w:pPr>
      <w:r w:rsidRPr="009325D3">
        <w:rPr>
          <w:rFonts w:ascii="Calibri" w:hAnsi="Calibri" w:cs="Calibri"/>
        </w:rPr>
        <w:br w:type="page"/>
      </w:r>
    </w:p>
    <w:p w14:paraId="4FCAE570" w14:textId="77777777" w:rsidR="005D29D7" w:rsidRPr="009325D3" w:rsidRDefault="005D29D7" w:rsidP="005D29D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35D0D6D3" w14:textId="77777777" w:rsidR="005D29D7" w:rsidRPr="009325D3" w:rsidRDefault="005D29D7" w:rsidP="005D29D7">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5D29D7" w:rsidRPr="009325D3" w14:paraId="14F15527" w14:textId="77777777" w:rsidTr="000B288C">
        <w:tc>
          <w:tcPr>
            <w:tcW w:w="785" w:type="dxa"/>
            <w:gridSpan w:val="2"/>
            <w:tcBorders>
              <w:top w:val="nil"/>
              <w:left w:val="nil"/>
              <w:right w:val="nil"/>
            </w:tcBorders>
          </w:tcPr>
          <w:p w14:paraId="27CE2E07" w14:textId="77777777" w:rsidR="005D29D7" w:rsidRPr="009325D3" w:rsidRDefault="005D29D7" w:rsidP="000B288C">
            <w:pPr>
              <w:pStyle w:val="Sansinterligne"/>
              <w:jc w:val="both"/>
              <w:rPr>
                <w:rFonts w:ascii="Calibri" w:hAnsi="Calibri" w:cs="Calibri"/>
              </w:rPr>
            </w:pPr>
          </w:p>
        </w:tc>
        <w:tc>
          <w:tcPr>
            <w:tcW w:w="8287" w:type="dxa"/>
            <w:tcBorders>
              <w:top w:val="nil"/>
              <w:left w:val="nil"/>
            </w:tcBorders>
            <w:vAlign w:val="center"/>
          </w:tcPr>
          <w:p w14:paraId="2BC88010" w14:textId="77777777" w:rsidR="005D29D7" w:rsidRPr="009325D3" w:rsidRDefault="005D29D7" w:rsidP="000B288C">
            <w:pPr>
              <w:pStyle w:val="Sansinterligne"/>
              <w:rPr>
                <w:rFonts w:ascii="Calibri" w:hAnsi="Calibri" w:cs="Calibri"/>
                <w:b/>
                <w:bCs/>
                <w:color w:val="002060"/>
              </w:rPr>
            </w:pPr>
          </w:p>
        </w:tc>
        <w:tc>
          <w:tcPr>
            <w:tcW w:w="1423" w:type="dxa"/>
            <w:tcBorders>
              <w:left w:val="nil"/>
            </w:tcBorders>
            <w:vAlign w:val="center"/>
          </w:tcPr>
          <w:p w14:paraId="45E59E29" w14:textId="77777777" w:rsidR="005D29D7" w:rsidRPr="009325D3" w:rsidRDefault="005D29D7"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5D29D7" w:rsidRPr="009325D3" w14:paraId="7E89E918" w14:textId="77777777" w:rsidTr="000B288C">
        <w:tc>
          <w:tcPr>
            <w:tcW w:w="9072" w:type="dxa"/>
            <w:gridSpan w:val="3"/>
            <w:vAlign w:val="center"/>
          </w:tcPr>
          <w:p w14:paraId="095C6CDF" w14:textId="77777777" w:rsidR="005D29D7" w:rsidRPr="009325D3" w:rsidRDefault="005D29D7"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39C9673A" w14:textId="77777777" w:rsidR="005D29D7" w:rsidRPr="009325D3" w:rsidRDefault="005D29D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4595A01" wp14:editId="22DECAB5">
                  <wp:extent cx="262393" cy="262393"/>
                  <wp:effectExtent l="0" t="0" r="4445" b="4445"/>
                  <wp:docPr id="784945440" name="Picture 78494544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7B5D5EB6" w14:textId="77777777" w:rsidTr="000B288C">
        <w:tc>
          <w:tcPr>
            <w:tcW w:w="284" w:type="dxa"/>
            <w:tcBorders>
              <w:right w:val="nil"/>
            </w:tcBorders>
          </w:tcPr>
          <w:p w14:paraId="0BC0336F" w14:textId="77777777" w:rsidR="005D29D7" w:rsidRPr="009325D3" w:rsidRDefault="005D29D7" w:rsidP="000B288C">
            <w:pPr>
              <w:pStyle w:val="Sansinterligne"/>
              <w:jc w:val="both"/>
              <w:rPr>
                <w:rFonts w:ascii="Calibri" w:hAnsi="Calibri" w:cs="Calibri"/>
              </w:rPr>
            </w:pPr>
          </w:p>
        </w:tc>
        <w:tc>
          <w:tcPr>
            <w:tcW w:w="8788" w:type="dxa"/>
            <w:gridSpan w:val="2"/>
            <w:tcBorders>
              <w:left w:val="nil"/>
            </w:tcBorders>
            <w:vAlign w:val="center"/>
          </w:tcPr>
          <w:p w14:paraId="6781EA96" w14:textId="77777777" w:rsidR="005D29D7" w:rsidRPr="009325D3" w:rsidRDefault="005D29D7"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7E115E58"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8133C6C" wp14:editId="7501DDB0">
                  <wp:extent cx="262393" cy="262393"/>
                  <wp:effectExtent l="0" t="0" r="4445" b="4445"/>
                  <wp:docPr id="784945441" name="Picture 78494544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45E5FEC7" w14:textId="77777777" w:rsidTr="000B288C">
        <w:tc>
          <w:tcPr>
            <w:tcW w:w="284" w:type="dxa"/>
            <w:tcBorders>
              <w:right w:val="nil"/>
            </w:tcBorders>
          </w:tcPr>
          <w:p w14:paraId="480758FD" w14:textId="77777777" w:rsidR="005D29D7" w:rsidRPr="009325D3" w:rsidRDefault="005D29D7" w:rsidP="000B288C">
            <w:pPr>
              <w:pStyle w:val="Sansinterligne"/>
              <w:jc w:val="both"/>
              <w:rPr>
                <w:rFonts w:ascii="Calibri" w:hAnsi="Calibri" w:cs="Calibri"/>
              </w:rPr>
            </w:pPr>
          </w:p>
        </w:tc>
        <w:tc>
          <w:tcPr>
            <w:tcW w:w="8788" w:type="dxa"/>
            <w:gridSpan w:val="2"/>
            <w:tcBorders>
              <w:left w:val="nil"/>
            </w:tcBorders>
            <w:vAlign w:val="center"/>
          </w:tcPr>
          <w:p w14:paraId="5CEDB8E7" w14:textId="77777777" w:rsidR="005D29D7" w:rsidRPr="009325D3" w:rsidRDefault="005D29D7"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26DB4B57"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3A29CB3" wp14:editId="7062714A">
                  <wp:extent cx="262393" cy="262393"/>
                  <wp:effectExtent l="0" t="0" r="4445" b="4445"/>
                  <wp:docPr id="784945442" name="Picture 78494544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2D41D821" w14:textId="77777777" w:rsidTr="000B288C">
        <w:tc>
          <w:tcPr>
            <w:tcW w:w="284" w:type="dxa"/>
            <w:tcBorders>
              <w:right w:val="nil"/>
            </w:tcBorders>
          </w:tcPr>
          <w:p w14:paraId="236BFEA6" w14:textId="77777777" w:rsidR="005D29D7" w:rsidRPr="009325D3" w:rsidRDefault="005D29D7" w:rsidP="000B288C">
            <w:pPr>
              <w:pStyle w:val="Sansinterligne"/>
              <w:jc w:val="both"/>
              <w:rPr>
                <w:rFonts w:ascii="Calibri" w:hAnsi="Calibri" w:cs="Calibri"/>
              </w:rPr>
            </w:pPr>
          </w:p>
        </w:tc>
        <w:tc>
          <w:tcPr>
            <w:tcW w:w="8788" w:type="dxa"/>
            <w:gridSpan w:val="2"/>
            <w:tcBorders>
              <w:left w:val="nil"/>
            </w:tcBorders>
            <w:vAlign w:val="center"/>
          </w:tcPr>
          <w:p w14:paraId="0114DE6E" w14:textId="77777777" w:rsidR="005D29D7" w:rsidRPr="009325D3" w:rsidRDefault="005D29D7"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18A5D750"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BA1242A" wp14:editId="3FF51189">
                  <wp:extent cx="262393" cy="262393"/>
                  <wp:effectExtent l="0" t="0" r="4445" b="4445"/>
                  <wp:docPr id="784945443" name="Picture 78494544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4600DD6A" w14:textId="77777777" w:rsidTr="000B288C">
        <w:tc>
          <w:tcPr>
            <w:tcW w:w="284" w:type="dxa"/>
            <w:tcBorders>
              <w:right w:val="nil"/>
            </w:tcBorders>
          </w:tcPr>
          <w:p w14:paraId="520D3494" w14:textId="77777777" w:rsidR="005D29D7" w:rsidRPr="009325D3" w:rsidRDefault="005D29D7" w:rsidP="000B288C">
            <w:pPr>
              <w:pStyle w:val="Sansinterligne"/>
              <w:jc w:val="both"/>
              <w:rPr>
                <w:rFonts w:ascii="Calibri" w:hAnsi="Calibri" w:cs="Calibri"/>
              </w:rPr>
            </w:pPr>
          </w:p>
        </w:tc>
        <w:tc>
          <w:tcPr>
            <w:tcW w:w="8788" w:type="dxa"/>
            <w:gridSpan w:val="2"/>
            <w:tcBorders>
              <w:left w:val="nil"/>
            </w:tcBorders>
            <w:vAlign w:val="center"/>
          </w:tcPr>
          <w:p w14:paraId="5FA6F801" w14:textId="77777777" w:rsidR="005D29D7" w:rsidRPr="009325D3" w:rsidRDefault="005D29D7"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2385259E"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7AE8A0A" wp14:editId="3DF2703C">
                  <wp:extent cx="262393" cy="262393"/>
                  <wp:effectExtent l="0" t="0" r="4445" b="4445"/>
                  <wp:docPr id="784945444" name="Picture 78494544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44325566" w14:textId="77777777" w:rsidTr="000B288C">
        <w:tc>
          <w:tcPr>
            <w:tcW w:w="284" w:type="dxa"/>
            <w:tcBorders>
              <w:right w:val="nil"/>
            </w:tcBorders>
          </w:tcPr>
          <w:p w14:paraId="2A3AFC22" w14:textId="77777777" w:rsidR="005D29D7" w:rsidRPr="009325D3" w:rsidRDefault="005D29D7" w:rsidP="000B288C">
            <w:pPr>
              <w:pStyle w:val="Sansinterligne"/>
              <w:jc w:val="both"/>
              <w:rPr>
                <w:rFonts w:ascii="Calibri" w:hAnsi="Calibri" w:cs="Calibri"/>
              </w:rPr>
            </w:pPr>
          </w:p>
        </w:tc>
        <w:tc>
          <w:tcPr>
            <w:tcW w:w="8788" w:type="dxa"/>
            <w:gridSpan w:val="2"/>
            <w:tcBorders>
              <w:left w:val="nil"/>
            </w:tcBorders>
            <w:vAlign w:val="center"/>
          </w:tcPr>
          <w:p w14:paraId="33E768E9" w14:textId="77777777" w:rsidR="005D29D7" w:rsidRPr="009325D3" w:rsidRDefault="005D29D7"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4FB09433"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8C87608" wp14:editId="5D64C847">
                  <wp:extent cx="262393" cy="262393"/>
                  <wp:effectExtent l="0" t="0" r="4445" b="4445"/>
                  <wp:docPr id="784945445" name="Picture 78494544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50338AF0" w14:textId="77777777" w:rsidTr="000B288C">
        <w:tc>
          <w:tcPr>
            <w:tcW w:w="9072" w:type="dxa"/>
            <w:gridSpan w:val="3"/>
            <w:vAlign w:val="center"/>
          </w:tcPr>
          <w:p w14:paraId="5A0300F8" w14:textId="77777777" w:rsidR="005D29D7" w:rsidRPr="009325D3" w:rsidRDefault="005D29D7"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40491EE8" w14:textId="77777777" w:rsidR="005D29D7" w:rsidRPr="009325D3" w:rsidRDefault="005D29D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E642E8C" wp14:editId="645A9A22">
                  <wp:extent cx="230588" cy="230588"/>
                  <wp:effectExtent l="0" t="0" r="0" b="0"/>
                  <wp:docPr id="784945446" name="Picture 78494544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D29D7" w:rsidRPr="009325D3" w14:paraId="2C148AA9" w14:textId="77777777" w:rsidTr="000B288C">
        <w:tc>
          <w:tcPr>
            <w:tcW w:w="9072" w:type="dxa"/>
            <w:gridSpan w:val="3"/>
            <w:vAlign w:val="center"/>
          </w:tcPr>
          <w:p w14:paraId="6465FF2A" w14:textId="77777777" w:rsidR="005D29D7" w:rsidRPr="009325D3" w:rsidRDefault="005D29D7"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37FAD044" w14:textId="77777777" w:rsidR="005D29D7" w:rsidRPr="009325D3" w:rsidRDefault="005D29D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2D7EC23" wp14:editId="308AAFC4">
                  <wp:extent cx="246490" cy="246490"/>
                  <wp:effectExtent l="0" t="0" r="1270" b="1270"/>
                  <wp:docPr id="784945447" name="Picture 78494544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2B183396" w14:textId="77777777" w:rsidR="005D29D7" w:rsidRPr="009325D3" w:rsidRDefault="005D29D7" w:rsidP="005D29D7">
      <w:pPr>
        <w:pStyle w:val="Sansinterligne"/>
        <w:jc w:val="both"/>
        <w:rPr>
          <w:rFonts w:ascii="Calibri" w:hAnsi="Calibri" w:cs="Calibri"/>
        </w:rPr>
      </w:pPr>
    </w:p>
    <w:p w14:paraId="5A7FD230" w14:textId="77777777" w:rsidR="005D29D7" w:rsidRPr="009325D3" w:rsidRDefault="005D29D7" w:rsidP="005D29D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74AF6D53" w14:textId="77777777" w:rsidR="005D29D7" w:rsidRPr="009325D3" w:rsidRDefault="005D29D7" w:rsidP="005D29D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5D29D7" w:rsidRPr="009325D3" w14:paraId="609B9BEA" w14:textId="77777777" w:rsidTr="000B288C">
        <w:trPr>
          <w:trHeight w:val="1997"/>
        </w:trPr>
        <w:tc>
          <w:tcPr>
            <w:tcW w:w="3697" w:type="dxa"/>
            <w:vAlign w:val="center"/>
          </w:tcPr>
          <w:p w14:paraId="09020CF4" w14:textId="77777777" w:rsidR="005D29D7" w:rsidRPr="009325D3" w:rsidRDefault="005D29D7"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2EB7B399" w14:textId="77777777" w:rsidR="005D29D7" w:rsidRPr="009325D3" w:rsidRDefault="005D29D7"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5871CEF2" w14:textId="77777777" w:rsidR="005D29D7" w:rsidRPr="009325D3" w:rsidRDefault="005D29D7"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211CF601" w14:textId="77777777" w:rsidR="005D29D7" w:rsidRPr="009325D3" w:rsidRDefault="005D29D7" w:rsidP="000B288C">
            <w:pPr>
              <w:pStyle w:val="Sansinterligne"/>
              <w:rPr>
                <w:rFonts w:ascii="Calibri" w:hAnsi="Calibri" w:cs="Calibri"/>
                <w:b/>
                <w:bCs/>
              </w:rPr>
            </w:pPr>
            <w:r w:rsidRPr="009325D3">
              <w:rPr>
                <w:rFonts w:ascii="Calibri" w:hAnsi="Calibri" w:cs="Calibri"/>
                <w:b/>
                <w:bCs/>
              </w:rPr>
              <w:t xml:space="preserve">Régimes d’aides applicables : </w:t>
            </w:r>
          </w:p>
          <w:p w14:paraId="6F1640E7" w14:textId="77777777" w:rsidR="005D29D7" w:rsidRPr="009325D3" w:rsidRDefault="005D29D7"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43C4D521" w14:textId="77777777" w:rsidR="005D29D7" w:rsidRPr="009325D3" w:rsidRDefault="005D29D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71312C86" w14:textId="77777777" w:rsidR="005D29D7" w:rsidRPr="009325D3" w:rsidRDefault="005D29D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06861335" w14:textId="77777777" w:rsidR="005D29D7" w:rsidRPr="009325D3" w:rsidRDefault="005D29D7"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5D29D7" w:rsidRPr="009325D3" w14:paraId="5AD1AA06" w14:textId="77777777" w:rsidTr="000B288C">
        <w:trPr>
          <w:trHeight w:val="780"/>
        </w:trPr>
        <w:tc>
          <w:tcPr>
            <w:tcW w:w="4408" w:type="dxa"/>
            <w:gridSpan w:val="2"/>
            <w:vAlign w:val="center"/>
          </w:tcPr>
          <w:p w14:paraId="4CB93AAC" w14:textId="77777777" w:rsidR="005D29D7" w:rsidRPr="009325D3" w:rsidRDefault="005D29D7" w:rsidP="000B288C">
            <w:pPr>
              <w:pStyle w:val="Sansinterligne"/>
              <w:jc w:val="center"/>
              <w:rPr>
                <w:rFonts w:ascii="Calibri" w:hAnsi="Calibri" w:cs="Calibri"/>
                <w:b/>
                <w:bCs/>
                <w:color w:val="000000" w:themeColor="text1"/>
              </w:rPr>
            </w:pPr>
          </w:p>
          <w:p w14:paraId="790CAA14" w14:textId="77777777" w:rsidR="005D29D7" w:rsidRPr="009325D3" w:rsidRDefault="005D29D7" w:rsidP="000B288C">
            <w:pPr>
              <w:pStyle w:val="Sansinterligne"/>
              <w:jc w:val="center"/>
              <w:rPr>
                <w:rFonts w:ascii="Calibri" w:hAnsi="Calibri" w:cs="Calibri"/>
                <w:b/>
                <w:bCs/>
                <w:color w:val="000000" w:themeColor="text1"/>
              </w:rPr>
            </w:pPr>
            <w:r w:rsidRPr="009325D3">
              <w:rPr>
                <w:rFonts w:ascii="Calibri" w:hAnsi="Calibri" w:cs="Calibri"/>
                <w:b/>
                <w:bCs/>
                <w:color w:val="000000" w:themeColor="text1"/>
              </w:rPr>
              <w:t>Assiette éligible du projet (minimum/maximum)</w:t>
            </w:r>
          </w:p>
          <w:p w14:paraId="75E5BA0C" w14:textId="77777777" w:rsidR="005D29D7" w:rsidRPr="009325D3" w:rsidRDefault="005D29D7" w:rsidP="000B288C">
            <w:pPr>
              <w:pStyle w:val="Sansinterligne"/>
              <w:jc w:val="center"/>
              <w:rPr>
                <w:rFonts w:ascii="Calibri" w:hAnsi="Calibri" w:cs="Calibri"/>
                <w:b/>
                <w:bCs/>
              </w:rPr>
            </w:pPr>
          </w:p>
        </w:tc>
        <w:tc>
          <w:tcPr>
            <w:tcW w:w="6077" w:type="dxa"/>
            <w:vAlign w:val="center"/>
          </w:tcPr>
          <w:p w14:paraId="091F5713" w14:textId="77777777" w:rsidR="005D29D7" w:rsidRPr="009325D3" w:rsidRDefault="005D29D7" w:rsidP="000B288C">
            <w:pPr>
              <w:pStyle w:val="Sansinterligne"/>
              <w:jc w:val="both"/>
              <w:rPr>
                <w:rFonts w:ascii="Calibri" w:hAnsi="Calibri" w:cs="Calibri"/>
                <w:b/>
                <w:bCs/>
                <w:color w:val="002060"/>
              </w:rPr>
            </w:pPr>
          </w:p>
          <w:p w14:paraId="125C18FF" w14:textId="77777777" w:rsidR="005D29D7" w:rsidRPr="009325D3" w:rsidRDefault="005D29D7" w:rsidP="000B288C">
            <w:pPr>
              <w:pStyle w:val="Sansinterligne"/>
              <w:jc w:val="both"/>
              <w:rPr>
                <w:rFonts w:ascii="Calibri" w:hAnsi="Calibri" w:cs="Calibri"/>
              </w:rPr>
            </w:pPr>
            <w:r w:rsidRPr="009325D3">
              <w:rPr>
                <w:rFonts w:ascii="Calibri" w:hAnsi="Calibri" w:cs="Calibri"/>
              </w:rPr>
              <w:t>Minimum : 25 000 € HT par projet</w:t>
            </w:r>
          </w:p>
          <w:p w14:paraId="72379EBD" w14:textId="77777777" w:rsidR="005D29D7" w:rsidRPr="009325D3" w:rsidRDefault="005D29D7" w:rsidP="000B288C">
            <w:pPr>
              <w:pStyle w:val="Sansinterligne"/>
              <w:jc w:val="both"/>
              <w:rPr>
                <w:rFonts w:ascii="Calibri" w:hAnsi="Calibri" w:cs="Calibri"/>
                <w:b/>
                <w:bCs/>
                <w:color w:val="002060"/>
              </w:rPr>
            </w:pPr>
          </w:p>
        </w:tc>
      </w:tr>
    </w:tbl>
    <w:p w14:paraId="3874A1A4" w14:textId="77777777" w:rsidR="005D29D7" w:rsidRPr="009325D3" w:rsidRDefault="005D29D7" w:rsidP="005D29D7">
      <w:pPr>
        <w:pStyle w:val="Sansinterligne"/>
        <w:jc w:val="both"/>
        <w:rPr>
          <w:rFonts w:ascii="Calibri" w:hAnsi="Calibri" w:cs="Calibri"/>
        </w:rPr>
      </w:pPr>
    </w:p>
    <w:p w14:paraId="6D69D4E9" w14:textId="77777777" w:rsidR="005D29D7" w:rsidRPr="009325D3" w:rsidRDefault="005D29D7" w:rsidP="005D29D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019E1AA" w14:textId="77777777" w:rsidR="005D29D7" w:rsidRPr="009325D3" w:rsidRDefault="005D29D7" w:rsidP="005D29D7">
      <w:pPr>
        <w:pStyle w:val="Sansinterligne"/>
        <w:ind w:left="720"/>
        <w:jc w:val="both"/>
        <w:rPr>
          <w:rFonts w:ascii="Calibri" w:hAnsi="Calibri" w:cs="Calibri"/>
        </w:rPr>
      </w:pPr>
    </w:p>
    <w:p w14:paraId="4BF2E357"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Etat (dont ADEME), </w:t>
      </w:r>
    </w:p>
    <w:p w14:paraId="40085D5E"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 xml:space="preserve">Conseil Régional Centre-Val de Loire, </w:t>
      </w:r>
    </w:p>
    <w:p w14:paraId="1BF2B40B" w14:textId="77777777" w:rsidR="005D29D7" w:rsidRPr="009325D3" w:rsidRDefault="005D29D7" w:rsidP="005D29D7">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48F1DC1E" w14:textId="77777777" w:rsidR="005D29D7" w:rsidRPr="009325D3" w:rsidRDefault="005D29D7" w:rsidP="005D29D7">
      <w:pPr>
        <w:pStyle w:val="Sansinterligne"/>
        <w:jc w:val="both"/>
        <w:rPr>
          <w:rFonts w:ascii="Calibri" w:hAnsi="Calibri" w:cs="Calibri"/>
        </w:rPr>
      </w:pPr>
    </w:p>
    <w:p w14:paraId="019647BD" w14:textId="77777777" w:rsidR="005D29D7" w:rsidRPr="009325D3" w:rsidRDefault="005D29D7" w:rsidP="005D29D7">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 xml:space="preserve">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7D4AD328" w14:textId="77777777" w:rsidR="005D29D7" w:rsidRPr="009325D3" w:rsidRDefault="005D29D7" w:rsidP="005D29D7">
      <w:pPr>
        <w:pStyle w:val="Sansinterligne"/>
        <w:jc w:val="both"/>
        <w:rPr>
          <w:rFonts w:ascii="Calibri" w:hAnsi="Calibri" w:cs="Calibri"/>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885"/>
        <w:gridCol w:w="3945"/>
        <w:gridCol w:w="1110"/>
        <w:gridCol w:w="1110"/>
        <w:gridCol w:w="2277"/>
      </w:tblGrid>
      <w:tr w:rsidR="005D29D7" w:rsidRPr="009325D3" w14:paraId="24AEE1C7" w14:textId="77777777" w:rsidTr="000B288C">
        <w:trPr>
          <w:trHeight w:val="510"/>
        </w:trPr>
        <w:tc>
          <w:tcPr>
            <w:tcW w:w="11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9399E6"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lang w:eastAsia="fr-FR"/>
              </w:rPr>
              <w:t>Type</w:t>
            </w:r>
            <w:r w:rsidRPr="009325D3">
              <w:rPr>
                <w:rFonts w:ascii="Calibri" w:eastAsia="Times New Roman" w:hAnsi="Calibri" w:cs="Calibri"/>
                <w:lang w:eastAsia="fr-FR"/>
              </w:rPr>
              <w:t> </w:t>
            </w:r>
          </w:p>
        </w:tc>
        <w:tc>
          <w:tcPr>
            <w:tcW w:w="885" w:type="dxa"/>
            <w:tcBorders>
              <w:top w:val="single" w:sz="6" w:space="0" w:color="auto"/>
              <w:left w:val="nil"/>
              <w:bottom w:val="single" w:sz="6" w:space="0" w:color="auto"/>
              <w:right w:val="single" w:sz="6" w:space="0" w:color="auto"/>
            </w:tcBorders>
            <w:shd w:val="clear" w:color="auto" w:fill="D9D9D9"/>
            <w:vAlign w:val="center"/>
            <w:hideMark/>
          </w:tcPr>
          <w:p w14:paraId="4B83CF04"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lang w:eastAsia="fr-FR"/>
              </w:rPr>
              <w:t>Numéro</w:t>
            </w:r>
            <w:r w:rsidRPr="009325D3">
              <w:rPr>
                <w:rFonts w:ascii="Calibri" w:eastAsia="Times New Roman" w:hAnsi="Calibri" w:cs="Calibri"/>
                <w:lang w:eastAsia="fr-FR"/>
              </w:rPr>
              <w:t> </w:t>
            </w:r>
          </w:p>
        </w:tc>
        <w:tc>
          <w:tcPr>
            <w:tcW w:w="3945" w:type="dxa"/>
            <w:tcBorders>
              <w:top w:val="single" w:sz="6" w:space="0" w:color="auto"/>
              <w:left w:val="nil"/>
              <w:bottom w:val="single" w:sz="6" w:space="0" w:color="auto"/>
              <w:right w:val="single" w:sz="6" w:space="0" w:color="auto"/>
            </w:tcBorders>
            <w:shd w:val="clear" w:color="auto" w:fill="D9D9D9"/>
            <w:vAlign w:val="center"/>
            <w:hideMark/>
          </w:tcPr>
          <w:p w14:paraId="1AA9AAB7"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lang w:eastAsia="fr-FR"/>
              </w:rPr>
              <w:t>Intitulé</w:t>
            </w:r>
            <w:r w:rsidRPr="009325D3">
              <w:rPr>
                <w:rFonts w:ascii="Calibri" w:eastAsia="Times New Roman" w:hAnsi="Calibri" w:cs="Calibri"/>
                <w:lang w:eastAsia="fr-FR"/>
              </w:rPr>
              <w:t> </w:t>
            </w:r>
          </w:p>
        </w:tc>
        <w:tc>
          <w:tcPr>
            <w:tcW w:w="1110" w:type="dxa"/>
            <w:tcBorders>
              <w:top w:val="single" w:sz="6" w:space="0" w:color="auto"/>
              <w:left w:val="nil"/>
              <w:bottom w:val="single" w:sz="6" w:space="0" w:color="auto"/>
              <w:right w:val="single" w:sz="6" w:space="0" w:color="auto"/>
            </w:tcBorders>
            <w:shd w:val="clear" w:color="auto" w:fill="DDEBF7"/>
            <w:vAlign w:val="center"/>
            <w:hideMark/>
          </w:tcPr>
          <w:p w14:paraId="7A06F549"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lang w:eastAsia="fr-FR"/>
              </w:rPr>
              <w:t>Valeur 2024</w:t>
            </w:r>
            <w:r w:rsidRPr="009325D3">
              <w:rPr>
                <w:rFonts w:ascii="Calibri" w:eastAsia="Times New Roman" w:hAnsi="Calibri" w:cs="Calibri"/>
                <w:lang w:eastAsia="fr-FR"/>
              </w:rPr>
              <w:t> </w:t>
            </w:r>
          </w:p>
        </w:tc>
        <w:tc>
          <w:tcPr>
            <w:tcW w:w="1110" w:type="dxa"/>
            <w:tcBorders>
              <w:top w:val="single" w:sz="6" w:space="0" w:color="auto"/>
              <w:left w:val="nil"/>
              <w:bottom w:val="single" w:sz="6" w:space="0" w:color="auto"/>
              <w:right w:val="single" w:sz="6" w:space="0" w:color="auto"/>
            </w:tcBorders>
            <w:shd w:val="clear" w:color="auto" w:fill="DDEBF7"/>
            <w:vAlign w:val="center"/>
            <w:hideMark/>
          </w:tcPr>
          <w:p w14:paraId="77FCE44E"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lang w:eastAsia="fr-FR"/>
              </w:rPr>
              <w:t>Valeur 2029</w:t>
            </w:r>
            <w:r w:rsidRPr="009325D3">
              <w:rPr>
                <w:rFonts w:ascii="Calibri" w:eastAsia="Times New Roman" w:hAnsi="Calibri" w:cs="Calibri"/>
                <w:lang w:eastAsia="fr-FR"/>
              </w:rPr>
              <w:t> </w:t>
            </w:r>
          </w:p>
        </w:tc>
        <w:tc>
          <w:tcPr>
            <w:tcW w:w="2277" w:type="dxa"/>
            <w:tcBorders>
              <w:top w:val="single" w:sz="6" w:space="0" w:color="auto"/>
              <w:left w:val="nil"/>
              <w:bottom w:val="single" w:sz="6" w:space="0" w:color="auto"/>
              <w:right w:val="single" w:sz="6" w:space="0" w:color="auto"/>
            </w:tcBorders>
            <w:shd w:val="clear" w:color="auto" w:fill="FFFF00"/>
            <w:vAlign w:val="center"/>
            <w:hideMark/>
          </w:tcPr>
          <w:p w14:paraId="3BCF8F07"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lang w:eastAsia="fr-FR"/>
              </w:rPr>
              <w:t>Pièces justificatives</w:t>
            </w:r>
            <w:r w:rsidRPr="009325D3">
              <w:rPr>
                <w:rFonts w:ascii="Calibri" w:eastAsia="Times New Roman" w:hAnsi="Calibri" w:cs="Calibri"/>
                <w:lang w:eastAsia="fr-FR"/>
              </w:rPr>
              <w:t> </w:t>
            </w:r>
          </w:p>
        </w:tc>
      </w:tr>
      <w:tr w:rsidR="005D29D7" w:rsidRPr="009325D3" w14:paraId="0B38E7D6" w14:textId="77777777" w:rsidTr="000B288C">
        <w:trPr>
          <w:trHeight w:val="660"/>
        </w:trPr>
        <w:tc>
          <w:tcPr>
            <w:tcW w:w="1155" w:type="dxa"/>
            <w:tcBorders>
              <w:top w:val="nil"/>
              <w:left w:val="single" w:sz="6" w:space="0" w:color="auto"/>
              <w:bottom w:val="single" w:sz="6" w:space="0" w:color="auto"/>
              <w:right w:val="single" w:sz="6" w:space="0" w:color="auto"/>
            </w:tcBorders>
            <w:shd w:val="clear" w:color="auto" w:fill="FFFFFF"/>
            <w:vAlign w:val="center"/>
            <w:hideMark/>
          </w:tcPr>
          <w:p w14:paraId="641847C9"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color w:val="5B9BD5"/>
                <w:lang w:eastAsia="fr-FR"/>
              </w:rPr>
              <w:t>Réalisation</w:t>
            </w:r>
            <w:r w:rsidRPr="009325D3">
              <w:rPr>
                <w:rFonts w:ascii="Calibri" w:eastAsia="Times New Roman" w:hAnsi="Calibri" w:cs="Calibri"/>
                <w:color w:val="5B9BD5"/>
                <w:lang w:eastAsia="fr-FR"/>
              </w:rPr>
              <w:t> </w:t>
            </w:r>
          </w:p>
        </w:tc>
        <w:tc>
          <w:tcPr>
            <w:tcW w:w="885" w:type="dxa"/>
            <w:tcBorders>
              <w:top w:val="nil"/>
              <w:left w:val="nil"/>
              <w:bottom w:val="single" w:sz="6" w:space="0" w:color="auto"/>
              <w:right w:val="single" w:sz="6" w:space="0" w:color="auto"/>
            </w:tcBorders>
            <w:shd w:val="clear" w:color="auto" w:fill="FFFFFF"/>
            <w:vAlign w:val="center"/>
            <w:hideMark/>
          </w:tcPr>
          <w:p w14:paraId="1286E894"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RCO38 </w:t>
            </w:r>
          </w:p>
        </w:tc>
        <w:tc>
          <w:tcPr>
            <w:tcW w:w="3945" w:type="dxa"/>
            <w:tcBorders>
              <w:top w:val="nil"/>
              <w:left w:val="nil"/>
              <w:bottom w:val="single" w:sz="6" w:space="0" w:color="auto"/>
              <w:right w:val="single" w:sz="6" w:space="0" w:color="auto"/>
            </w:tcBorders>
            <w:shd w:val="clear" w:color="auto" w:fill="FFFFFF"/>
            <w:vAlign w:val="center"/>
            <w:hideMark/>
          </w:tcPr>
          <w:p w14:paraId="5C952139" w14:textId="77777777" w:rsidR="005D29D7" w:rsidRPr="009325D3" w:rsidRDefault="005D29D7" w:rsidP="000B288C">
            <w:pPr>
              <w:spacing w:after="0" w:line="240" w:lineRule="auto"/>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Superficie de sols réhabilités bénéficiant d’un soutien </w:t>
            </w:r>
          </w:p>
        </w:tc>
        <w:tc>
          <w:tcPr>
            <w:tcW w:w="1110" w:type="dxa"/>
            <w:tcBorders>
              <w:top w:val="nil"/>
              <w:left w:val="nil"/>
              <w:bottom w:val="single" w:sz="6" w:space="0" w:color="auto"/>
              <w:right w:val="single" w:sz="6" w:space="0" w:color="auto"/>
            </w:tcBorders>
            <w:shd w:val="clear" w:color="auto" w:fill="FFFFFF"/>
            <w:vAlign w:val="center"/>
            <w:hideMark/>
          </w:tcPr>
          <w:p w14:paraId="60286F08"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Pr>
                <w:rFonts w:ascii="Calibri" w:eastAsia="Times New Roman" w:hAnsi="Calibri" w:cs="Calibri"/>
                <w:lang w:eastAsia="fr-FR"/>
              </w:rPr>
              <w:t>1</w:t>
            </w:r>
            <w:r w:rsidRPr="009325D3">
              <w:rPr>
                <w:rFonts w:ascii="Calibri" w:eastAsia="Times New Roman" w:hAnsi="Calibri" w:cs="Calibri"/>
                <w:lang w:eastAsia="fr-FR"/>
              </w:rPr>
              <w:t> </w:t>
            </w:r>
          </w:p>
        </w:tc>
        <w:tc>
          <w:tcPr>
            <w:tcW w:w="1110" w:type="dxa"/>
            <w:tcBorders>
              <w:top w:val="nil"/>
              <w:left w:val="nil"/>
              <w:bottom w:val="single" w:sz="6" w:space="0" w:color="auto"/>
              <w:right w:val="single" w:sz="6" w:space="0" w:color="auto"/>
            </w:tcBorders>
            <w:shd w:val="clear" w:color="auto" w:fill="FFFFFF"/>
            <w:vAlign w:val="center"/>
            <w:hideMark/>
          </w:tcPr>
          <w:p w14:paraId="0A387242"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Pr>
                <w:rFonts w:ascii="Calibri" w:eastAsia="Times New Roman" w:hAnsi="Calibri" w:cs="Calibri"/>
                <w:lang w:eastAsia="fr-FR"/>
              </w:rPr>
              <w:t>4</w:t>
            </w:r>
            <w:r w:rsidRPr="009325D3">
              <w:rPr>
                <w:rFonts w:ascii="Calibri" w:eastAsia="Times New Roman" w:hAnsi="Calibri" w:cs="Calibri"/>
                <w:lang w:eastAsia="fr-FR"/>
              </w:rPr>
              <w:t> </w:t>
            </w:r>
          </w:p>
        </w:tc>
        <w:tc>
          <w:tcPr>
            <w:tcW w:w="2277" w:type="dxa"/>
            <w:tcBorders>
              <w:top w:val="nil"/>
              <w:left w:val="nil"/>
              <w:bottom w:val="single" w:sz="6" w:space="0" w:color="auto"/>
              <w:right w:val="single" w:sz="6" w:space="0" w:color="auto"/>
            </w:tcBorders>
            <w:shd w:val="clear" w:color="auto" w:fill="FFFFFF"/>
            <w:vAlign w:val="center"/>
            <w:hideMark/>
          </w:tcPr>
          <w:p w14:paraId="3283F41E"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Rapport technique établi par le chef de projet ou un expert à l'issue du projet. </w:t>
            </w:r>
          </w:p>
        </w:tc>
      </w:tr>
      <w:tr w:rsidR="005D29D7" w:rsidRPr="009325D3" w14:paraId="3105C684" w14:textId="77777777" w:rsidTr="000B288C">
        <w:trPr>
          <w:trHeight w:val="285"/>
        </w:trPr>
        <w:tc>
          <w:tcPr>
            <w:tcW w:w="1155" w:type="dxa"/>
            <w:tcBorders>
              <w:top w:val="nil"/>
              <w:left w:val="single" w:sz="6" w:space="0" w:color="auto"/>
              <w:bottom w:val="single" w:sz="6" w:space="0" w:color="auto"/>
              <w:right w:val="single" w:sz="6" w:space="0" w:color="auto"/>
            </w:tcBorders>
            <w:shd w:val="clear" w:color="auto" w:fill="FFFFFF"/>
            <w:vAlign w:val="center"/>
            <w:hideMark/>
          </w:tcPr>
          <w:p w14:paraId="2122B46B"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b/>
                <w:bCs/>
                <w:color w:val="70AD47"/>
                <w:lang w:eastAsia="fr-FR"/>
              </w:rPr>
              <w:t>Résultat</w:t>
            </w:r>
            <w:r w:rsidRPr="009325D3">
              <w:rPr>
                <w:rFonts w:ascii="Calibri" w:eastAsia="Times New Roman" w:hAnsi="Calibri" w:cs="Calibri"/>
                <w:color w:val="70AD47"/>
                <w:lang w:eastAsia="fr-FR"/>
              </w:rPr>
              <w:t> </w:t>
            </w:r>
          </w:p>
        </w:tc>
        <w:tc>
          <w:tcPr>
            <w:tcW w:w="885" w:type="dxa"/>
            <w:tcBorders>
              <w:top w:val="nil"/>
              <w:left w:val="nil"/>
              <w:bottom w:val="single" w:sz="6" w:space="0" w:color="auto"/>
              <w:right w:val="single" w:sz="6" w:space="0" w:color="auto"/>
            </w:tcBorders>
            <w:shd w:val="clear" w:color="auto" w:fill="FFFFFF"/>
            <w:vAlign w:val="center"/>
            <w:hideMark/>
          </w:tcPr>
          <w:p w14:paraId="4B701EC6"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SR05 </w:t>
            </w:r>
          </w:p>
        </w:tc>
        <w:tc>
          <w:tcPr>
            <w:tcW w:w="3945" w:type="dxa"/>
            <w:tcBorders>
              <w:top w:val="nil"/>
              <w:left w:val="nil"/>
              <w:bottom w:val="single" w:sz="6" w:space="0" w:color="auto"/>
              <w:right w:val="single" w:sz="6" w:space="0" w:color="auto"/>
            </w:tcBorders>
            <w:shd w:val="clear" w:color="auto" w:fill="FFFFFF"/>
            <w:vAlign w:val="center"/>
            <w:hideMark/>
          </w:tcPr>
          <w:p w14:paraId="27596AB9" w14:textId="77777777" w:rsidR="005D29D7" w:rsidRPr="009325D3" w:rsidRDefault="005D29D7" w:rsidP="000B288C">
            <w:pPr>
              <w:spacing w:after="0" w:line="240" w:lineRule="auto"/>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Nombre de communes engagées dans une opération de renaturation </w:t>
            </w:r>
          </w:p>
        </w:tc>
        <w:tc>
          <w:tcPr>
            <w:tcW w:w="1110" w:type="dxa"/>
            <w:tcBorders>
              <w:top w:val="single" w:sz="6" w:space="0" w:color="auto"/>
              <w:left w:val="nil"/>
              <w:bottom w:val="single" w:sz="6" w:space="0" w:color="auto"/>
              <w:right w:val="single" w:sz="6" w:space="0" w:color="auto"/>
              <w:tl2br w:val="single" w:sz="4" w:space="0" w:color="auto"/>
              <w:tr2bl w:val="single" w:sz="4" w:space="0" w:color="auto"/>
            </w:tcBorders>
            <w:shd w:val="clear" w:color="auto" w:fill="FFFFFF"/>
            <w:vAlign w:val="center"/>
            <w:hideMark/>
          </w:tcPr>
          <w:p w14:paraId="2C5FF80D"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  </w:t>
            </w:r>
          </w:p>
        </w:tc>
        <w:tc>
          <w:tcPr>
            <w:tcW w:w="1110" w:type="dxa"/>
            <w:tcBorders>
              <w:top w:val="nil"/>
              <w:left w:val="nil"/>
              <w:bottom w:val="single" w:sz="6" w:space="0" w:color="auto"/>
              <w:right w:val="single" w:sz="6" w:space="0" w:color="auto"/>
            </w:tcBorders>
            <w:shd w:val="clear" w:color="auto" w:fill="FFFFFF"/>
            <w:vAlign w:val="center"/>
            <w:hideMark/>
          </w:tcPr>
          <w:p w14:paraId="78BBD114"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1 </w:t>
            </w:r>
          </w:p>
        </w:tc>
        <w:tc>
          <w:tcPr>
            <w:tcW w:w="2277" w:type="dxa"/>
            <w:tcBorders>
              <w:top w:val="nil"/>
              <w:left w:val="nil"/>
              <w:bottom w:val="single" w:sz="6" w:space="0" w:color="auto"/>
              <w:right w:val="single" w:sz="6" w:space="0" w:color="auto"/>
            </w:tcBorders>
            <w:shd w:val="clear" w:color="auto" w:fill="FFFFFF"/>
            <w:vAlign w:val="center"/>
            <w:hideMark/>
          </w:tcPr>
          <w:p w14:paraId="5850DB9C" w14:textId="77777777" w:rsidR="005D29D7" w:rsidRPr="009325D3" w:rsidRDefault="005D29D7" w:rsidP="000B288C">
            <w:pPr>
              <w:spacing w:after="0" w:line="240" w:lineRule="auto"/>
              <w:jc w:val="center"/>
              <w:textAlignment w:val="baseline"/>
              <w:rPr>
                <w:rFonts w:ascii="Calibri" w:eastAsia="Times New Roman" w:hAnsi="Calibri" w:cs="Calibri"/>
                <w:sz w:val="18"/>
                <w:szCs w:val="18"/>
                <w:lang w:eastAsia="fr-FR"/>
              </w:rPr>
            </w:pPr>
            <w:r w:rsidRPr="009325D3">
              <w:rPr>
                <w:rFonts w:ascii="Calibri" w:eastAsia="Times New Roman" w:hAnsi="Calibri" w:cs="Calibri"/>
                <w:lang w:eastAsia="fr-FR"/>
              </w:rPr>
              <w:t>Etude d'impact et rapport d'évaluation </w:t>
            </w:r>
          </w:p>
        </w:tc>
      </w:tr>
    </w:tbl>
    <w:p w14:paraId="459D7D6F" w14:textId="77777777" w:rsidR="005D29D7" w:rsidRPr="009325D3" w:rsidRDefault="005D29D7" w:rsidP="005D29D7">
      <w:pPr>
        <w:pStyle w:val="Sansinterligne"/>
        <w:jc w:val="both"/>
        <w:rPr>
          <w:rFonts w:ascii="Calibri" w:hAnsi="Calibri" w:cs="Calibri"/>
        </w:rPr>
      </w:pPr>
    </w:p>
    <w:p w14:paraId="45E1F01A" w14:textId="77777777" w:rsidR="005D29D7" w:rsidRPr="009325D3" w:rsidRDefault="005D29D7" w:rsidP="005D29D7">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07C4FB0D" w14:textId="77777777" w:rsidR="005D29D7" w:rsidRPr="009325D3" w:rsidRDefault="005D29D7" w:rsidP="005D29D7">
      <w:pPr>
        <w:pStyle w:val="Sansinterligne"/>
        <w:jc w:val="both"/>
        <w:rPr>
          <w:rFonts w:ascii="Calibri" w:hAnsi="Calibri" w:cs="Calibri"/>
        </w:rPr>
      </w:pPr>
    </w:p>
    <w:p w14:paraId="2ADFE0E4" w14:textId="77777777" w:rsidR="005D29D7" w:rsidRPr="009325D3" w:rsidRDefault="005D29D7" w:rsidP="005D29D7">
      <w:pPr>
        <w:pStyle w:val="Sansinterligne"/>
        <w:jc w:val="both"/>
        <w:rPr>
          <w:rFonts w:ascii="Calibri" w:hAnsi="Calibri" w:cs="Calibri"/>
          <w:b/>
          <w:bCs/>
        </w:rPr>
      </w:pPr>
      <w:r w:rsidRPr="009325D3">
        <w:rPr>
          <w:rFonts w:ascii="Calibri" w:hAnsi="Calibri" w:cs="Calibri"/>
          <w:b/>
          <w:bCs/>
        </w:rPr>
        <w:t>1 000 000 €</w:t>
      </w:r>
    </w:p>
    <w:p w14:paraId="02EF1FDD" w14:textId="5DD91DEC" w:rsidR="005D29D7" w:rsidRPr="004F6093" w:rsidRDefault="005D29D7" w:rsidP="004F6093">
      <w:pPr>
        <w:spacing w:after="160" w:line="259" w:lineRule="auto"/>
        <w:jc w:val="left"/>
        <w:rPr>
          <w:rFonts w:ascii="Calibri" w:hAnsi="Calibri" w:cs="Calibri"/>
          <w:sz w:val="22"/>
        </w:rPr>
      </w:pPr>
      <w:r w:rsidRPr="009325D3">
        <w:rPr>
          <w:rFonts w:ascii="Calibri" w:hAnsi="Calibri" w:cs="Calibri"/>
        </w:rPr>
        <w:br w:type="page"/>
      </w:r>
    </w:p>
    <w:p w14:paraId="2AA61D3B" w14:textId="77777777" w:rsidR="005D29D7" w:rsidRPr="009325D3" w:rsidRDefault="005D29D7" w:rsidP="005D29D7">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41BC1FE7" w14:textId="77777777" w:rsidR="005D29D7" w:rsidRPr="009325D3" w:rsidRDefault="005D29D7" w:rsidP="005D29D7">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5D29D7" w:rsidRPr="009325D3" w14:paraId="3195C407" w14:textId="77777777" w:rsidTr="000B288C">
        <w:tc>
          <w:tcPr>
            <w:tcW w:w="9067" w:type="dxa"/>
            <w:tcBorders>
              <w:bottom w:val="single" w:sz="4" w:space="0" w:color="auto"/>
            </w:tcBorders>
            <w:vAlign w:val="center"/>
          </w:tcPr>
          <w:p w14:paraId="6920A5A0" w14:textId="77777777" w:rsidR="005D29D7" w:rsidRPr="009325D3" w:rsidRDefault="005D29D7" w:rsidP="000B288C">
            <w:pPr>
              <w:pStyle w:val="Sansinterligne"/>
              <w:jc w:val="center"/>
              <w:rPr>
                <w:rFonts w:ascii="Calibri" w:hAnsi="Calibri" w:cs="Calibri"/>
              </w:rPr>
            </w:pPr>
          </w:p>
        </w:tc>
        <w:tc>
          <w:tcPr>
            <w:tcW w:w="1423" w:type="dxa"/>
            <w:tcBorders>
              <w:top w:val="single" w:sz="4" w:space="0" w:color="auto"/>
            </w:tcBorders>
            <w:vAlign w:val="center"/>
          </w:tcPr>
          <w:p w14:paraId="247EDA9F" w14:textId="77777777" w:rsidR="005D29D7" w:rsidRPr="009325D3" w:rsidRDefault="005D29D7"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5D29D7" w:rsidRPr="009325D3" w14:paraId="2B059EFE" w14:textId="77777777" w:rsidTr="000B288C">
        <w:tc>
          <w:tcPr>
            <w:tcW w:w="9067" w:type="dxa"/>
            <w:tcBorders>
              <w:top w:val="single" w:sz="4" w:space="0" w:color="auto"/>
              <w:left w:val="single" w:sz="4" w:space="0" w:color="auto"/>
            </w:tcBorders>
            <w:vAlign w:val="center"/>
          </w:tcPr>
          <w:p w14:paraId="598E1835" w14:textId="77777777" w:rsidR="005D29D7" w:rsidRPr="009325D3" w:rsidRDefault="005D29D7"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B439706"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385BCC2" wp14:editId="4CA7450E">
                  <wp:extent cx="262393" cy="262393"/>
                  <wp:effectExtent l="0" t="0" r="4445" b="4445"/>
                  <wp:docPr id="784945448" name="Picture 78494544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5D29D7" w:rsidRPr="009325D3" w14:paraId="3E50C572" w14:textId="77777777" w:rsidTr="000B288C">
        <w:tc>
          <w:tcPr>
            <w:tcW w:w="9067" w:type="dxa"/>
            <w:tcBorders>
              <w:top w:val="single" w:sz="4" w:space="0" w:color="auto"/>
              <w:left w:val="single" w:sz="4" w:space="0" w:color="auto"/>
            </w:tcBorders>
            <w:vAlign w:val="center"/>
          </w:tcPr>
          <w:p w14:paraId="11B139A3" w14:textId="77777777" w:rsidR="005D29D7" w:rsidRPr="009325D3" w:rsidRDefault="005D29D7"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56FCE101"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810F71D" wp14:editId="4DE4E2E2">
                  <wp:extent cx="230588" cy="230588"/>
                  <wp:effectExtent l="0" t="0" r="0" b="0"/>
                  <wp:docPr id="784945449" name="Picture 78494544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D29D7" w:rsidRPr="009325D3" w14:paraId="6E3803EB" w14:textId="77777777" w:rsidTr="000B288C">
        <w:tc>
          <w:tcPr>
            <w:tcW w:w="9067" w:type="dxa"/>
            <w:tcBorders>
              <w:top w:val="single" w:sz="4" w:space="0" w:color="auto"/>
              <w:left w:val="single" w:sz="4" w:space="0" w:color="auto"/>
            </w:tcBorders>
            <w:vAlign w:val="center"/>
          </w:tcPr>
          <w:p w14:paraId="3BB37756" w14:textId="77777777" w:rsidR="005D29D7" w:rsidRPr="009325D3" w:rsidRDefault="005D29D7"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6EF5FEAC"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0E0DFA7" wp14:editId="2DF0E48F">
                  <wp:extent cx="230588" cy="230588"/>
                  <wp:effectExtent l="0" t="0" r="0" b="0"/>
                  <wp:docPr id="784945450" name="Picture 78494545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D29D7" w:rsidRPr="009325D3" w14:paraId="56EE070A" w14:textId="77777777" w:rsidTr="000B288C">
        <w:tc>
          <w:tcPr>
            <w:tcW w:w="9067" w:type="dxa"/>
            <w:tcBorders>
              <w:top w:val="single" w:sz="4" w:space="0" w:color="auto"/>
              <w:left w:val="single" w:sz="4" w:space="0" w:color="auto"/>
            </w:tcBorders>
            <w:vAlign w:val="center"/>
          </w:tcPr>
          <w:p w14:paraId="75FB3CE3" w14:textId="77777777" w:rsidR="005D29D7" w:rsidRPr="009325D3" w:rsidRDefault="005D29D7"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425BCDAC"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D7D0217" wp14:editId="0FC5F26B">
                  <wp:extent cx="230588" cy="230588"/>
                  <wp:effectExtent l="0" t="0" r="0" b="0"/>
                  <wp:docPr id="784945451" name="Picture 78494545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D29D7" w:rsidRPr="009325D3" w14:paraId="2B4920BF" w14:textId="77777777" w:rsidTr="000B288C">
        <w:tc>
          <w:tcPr>
            <w:tcW w:w="9067" w:type="dxa"/>
            <w:tcBorders>
              <w:top w:val="single" w:sz="4" w:space="0" w:color="auto"/>
              <w:left w:val="single" w:sz="4" w:space="0" w:color="auto"/>
            </w:tcBorders>
            <w:vAlign w:val="center"/>
          </w:tcPr>
          <w:p w14:paraId="0490F662" w14:textId="77777777" w:rsidR="005D29D7" w:rsidRPr="009325D3" w:rsidRDefault="005D29D7"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4848C8B8"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7F19FFB" wp14:editId="4B9320FF">
                  <wp:extent cx="230588" cy="230588"/>
                  <wp:effectExtent l="0" t="0" r="0" b="0"/>
                  <wp:docPr id="784945452" name="Picture 78494545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5D29D7" w:rsidRPr="009325D3" w14:paraId="19FECBAB" w14:textId="77777777" w:rsidTr="000B288C">
        <w:tc>
          <w:tcPr>
            <w:tcW w:w="9067" w:type="dxa"/>
            <w:tcBorders>
              <w:top w:val="single" w:sz="4" w:space="0" w:color="auto"/>
              <w:left w:val="single" w:sz="4" w:space="0" w:color="auto"/>
            </w:tcBorders>
            <w:vAlign w:val="center"/>
          </w:tcPr>
          <w:p w14:paraId="2F7A1A6D" w14:textId="77777777" w:rsidR="005D29D7" w:rsidRPr="009325D3" w:rsidRDefault="005D29D7"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7A5495AB" w14:textId="77777777" w:rsidR="005D29D7" w:rsidRPr="009325D3" w:rsidRDefault="005D29D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665B50B" wp14:editId="66DF621A">
                  <wp:extent cx="230588" cy="230588"/>
                  <wp:effectExtent l="0" t="0" r="0" b="0"/>
                  <wp:docPr id="784945453" name="Picture 78494545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5ED80D0D" w14:textId="77777777" w:rsidR="005D29D7" w:rsidRPr="009325D3" w:rsidRDefault="005D29D7" w:rsidP="005D29D7">
      <w:pPr>
        <w:pStyle w:val="Sansinterligne"/>
        <w:jc w:val="both"/>
        <w:rPr>
          <w:rFonts w:ascii="Calibri" w:hAnsi="Calibri" w:cs="Calibri"/>
        </w:rPr>
      </w:pPr>
    </w:p>
    <w:p w14:paraId="217992D4" w14:textId="77777777" w:rsidR="005D29D7" w:rsidRPr="009325D3" w:rsidRDefault="005D29D7" w:rsidP="005D29D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50028018" w14:textId="77777777" w:rsidR="005D29D7" w:rsidRPr="009325D3" w:rsidRDefault="005D29D7" w:rsidP="005D29D7">
      <w:pPr>
        <w:pStyle w:val="Sansinterligne"/>
        <w:jc w:val="both"/>
        <w:rPr>
          <w:rFonts w:ascii="Calibri" w:hAnsi="Calibri" w:cs="Calibri"/>
        </w:rPr>
      </w:pPr>
    </w:p>
    <w:p w14:paraId="0AF8F196" w14:textId="77777777" w:rsidR="005D29D7" w:rsidRPr="009325D3" w:rsidRDefault="005D29D7" w:rsidP="005D29D7">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0B58CB4E" w14:textId="77777777" w:rsidR="005D29D7" w:rsidRPr="009325D3" w:rsidRDefault="005D29D7" w:rsidP="005D29D7">
      <w:pPr>
        <w:pStyle w:val="Sansinterligne"/>
        <w:jc w:val="both"/>
        <w:rPr>
          <w:rFonts w:ascii="Calibri" w:hAnsi="Calibri" w:cs="Calibri"/>
          <w:b/>
          <w:bCs/>
          <w:color w:val="002060"/>
        </w:rPr>
      </w:pPr>
    </w:p>
    <w:p w14:paraId="687C3192" w14:textId="77777777" w:rsidR="005D29D7" w:rsidRPr="009325D3" w:rsidRDefault="005D29D7" w:rsidP="005D29D7">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7F869DC1" w14:textId="77777777" w:rsidR="005D29D7" w:rsidRPr="009325D3" w:rsidRDefault="005D29D7" w:rsidP="005D29D7">
      <w:pPr>
        <w:pStyle w:val="Sansinterligne"/>
        <w:numPr>
          <w:ilvl w:val="0"/>
          <w:numId w:val="42"/>
        </w:numPr>
        <w:jc w:val="both"/>
        <w:rPr>
          <w:rFonts w:ascii="Calibri" w:hAnsi="Calibri" w:cs="Calibri"/>
        </w:rPr>
      </w:pPr>
      <w:r w:rsidRPr="009325D3">
        <w:rPr>
          <w:rFonts w:ascii="Calibri" w:hAnsi="Calibri" w:cs="Calibri"/>
        </w:rPr>
        <w:t xml:space="preserve">Direction de l’environnement et de la Transition Energétique (DETE) – Conseil régional Centre-Val de Loire </w:t>
      </w:r>
    </w:p>
    <w:p w14:paraId="6A5EEEA5" w14:textId="77777777" w:rsidR="005D29D7" w:rsidRPr="009325D3" w:rsidRDefault="005D29D7" w:rsidP="005D29D7">
      <w:pPr>
        <w:pStyle w:val="Sansinterligne"/>
        <w:numPr>
          <w:ilvl w:val="0"/>
          <w:numId w:val="42"/>
        </w:numPr>
        <w:jc w:val="both"/>
        <w:rPr>
          <w:rFonts w:ascii="Calibri" w:hAnsi="Calibri" w:cs="Calibri"/>
        </w:rPr>
      </w:pPr>
      <w:r w:rsidRPr="009325D3">
        <w:rPr>
          <w:rFonts w:ascii="Calibri" w:hAnsi="Calibri" w:cs="Calibri"/>
        </w:rPr>
        <w:t xml:space="preserve">ADEME Régional de la biodiversité,  </w:t>
      </w:r>
    </w:p>
    <w:p w14:paraId="56F621C2" w14:textId="77777777" w:rsidR="005D29D7" w:rsidRPr="009325D3" w:rsidRDefault="005D29D7" w:rsidP="005D29D7">
      <w:pPr>
        <w:pStyle w:val="Sansinterligne"/>
        <w:numPr>
          <w:ilvl w:val="0"/>
          <w:numId w:val="42"/>
        </w:numPr>
        <w:jc w:val="both"/>
        <w:rPr>
          <w:rFonts w:ascii="Calibri" w:hAnsi="Calibri" w:cs="Calibri"/>
        </w:rPr>
      </w:pPr>
      <w:r w:rsidRPr="009325D3">
        <w:rPr>
          <w:rFonts w:ascii="Calibri" w:hAnsi="Calibri" w:cs="Calibri"/>
        </w:rPr>
        <w:t xml:space="preserve">Service de l’Etat (DREAL, OFB…).  </w:t>
      </w:r>
    </w:p>
    <w:p w14:paraId="3B79E5F2" w14:textId="77777777" w:rsidR="005D29D7" w:rsidRPr="009325D3" w:rsidRDefault="005D29D7" w:rsidP="005D29D7">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4E773FEB" w14:textId="77777777" w:rsidR="005D29D7" w:rsidRPr="009325D3" w:rsidRDefault="005D29D7" w:rsidP="005D29D7">
      <w:pPr>
        <w:pStyle w:val="Sansinterligne"/>
        <w:jc w:val="both"/>
        <w:rPr>
          <w:rFonts w:ascii="Calibri" w:hAnsi="Calibri" w:cs="Calibri"/>
        </w:rPr>
      </w:pPr>
    </w:p>
    <w:p w14:paraId="4FDBED64" w14:textId="77777777" w:rsidR="005D29D7" w:rsidRPr="009325D3" w:rsidRDefault="005D29D7" w:rsidP="005D29D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432EF90F" w14:textId="77777777" w:rsidR="005D29D7" w:rsidRPr="009325D3" w:rsidRDefault="005D29D7" w:rsidP="005D29D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5D29D7" w:rsidRPr="009325D3" w14:paraId="28BBDA48" w14:textId="77777777" w:rsidTr="000B288C">
        <w:tc>
          <w:tcPr>
            <w:tcW w:w="3256" w:type="dxa"/>
            <w:vAlign w:val="center"/>
          </w:tcPr>
          <w:p w14:paraId="7C158538" w14:textId="77777777" w:rsidR="005D29D7" w:rsidRPr="009325D3" w:rsidRDefault="005D29D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60A4AE34" w14:textId="77777777" w:rsidR="005D29D7" w:rsidRPr="009325D3" w:rsidRDefault="005D29D7" w:rsidP="000B288C">
            <w:pPr>
              <w:pStyle w:val="Sansinterligne"/>
              <w:rPr>
                <w:rFonts w:ascii="Calibri" w:hAnsi="Calibri" w:cs="Calibri"/>
                <w:sz w:val="20"/>
                <w:szCs w:val="20"/>
              </w:rPr>
            </w:pPr>
            <w:r w:rsidRPr="009325D3">
              <w:rPr>
                <w:rStyle w:val="normaltextrun"/>
                <w:rFonts w:ascii="Calibri" w:hAnsi="Calibri" w:cs="Calibri"/>
                <w:color w:val="000000"/>
                <w:sz w:val="20"/>
                <w:szCs w:val="20"/>
                <w:shd w:val="clear" w:color="auto" w:fill="FFFFFF"/>
              </w:rPr>
              <w:t>079 Protection de la nature et de la biodiversité, patrimoine naturel et ressources naturelles, infrastructures vertes et bleues</w:t>
            </w:r>
            <w:r w:rsidRPr="009325D3">
              <w:rPr>
                <w:rStyle w:val="eop"/>
                <w:rFonts w:ascii="Calibri" w:hAnsi="Calibri" w:cs="Calibri"/>
                <w:color w:val="000000"/>
                <w:sz w:val="20"/>
                <w:szCs w:val="20"/>
                <w:shd w:val="clear" w:color="auto" w:fill="FFFFFF"/>
              </w:rPr>
              <w:t> </w:t>
            </w:r>
          </w:p>
        </w:tc>
      </w:tr>
      <w:tr w:rsidR="005D29D7" w:rsidRPr="009325D3" w14:paraId="5D11B809" w14:textId="77777777" w:rsidTr="000B288C">
        <w:tc>
          <w:tcPr>
            <w:tcW w:w="3256" w:type="dxa"/>
            <w:vAlign w:val="center"/>
          </w:tcPr>
          <w:p w14:paraId="49B1CA62" w14:textId="77777777" w:rsidR="005D29D7" w:rsidRPr="009325D3" w:rsidRDefault="005D29D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44ADDD5B" w14:textId="77777777" w:rsidR="005D29D7" w:rsidRPr="009325D3" w:rsidRDefault="005D29D7" w:rsidP="000B288C">
            <w:pPr>
              <w:pStyle w:val="Sansinterligne"/>
              <w:rPr>
                <w:rFonts w:ascii="Calibri" w:hAnsi="Calibri" w:cs="Calibri"/>
                <w:sz w:val="20"/>
                <w:szCs w:val="20"/>
              </w:rPr>
            </w:pPr>
            <w:r w:rsidRPr="009325D3">
              <w:rPr>
                <w:rFonts w:ascii="Calibri" w:hAnsi="Calibri" w:cs="Calibri"/>
                <w:sz w:val="20"/>
                <w:szCs w:val="20"/>
              </w:rPr>
              <w:t>01 Subvention</w:t>
            </w:r>
          </w:p>
        </w:tc>
      </w:tr>
      <w:tr w:rsidR="005D29D7" w:rsidRPr="009325D3" w14:paraId="0C8DD396" w14:textId="77777777" w:rsidTr="000B288C">
        <w:tc>
          <w:tcPr>
            <w:tcW w:w="3256" w:type="dxa"/>
            <w:vAlign w:val="center"/>
          </w:tcPr>
          <w:p w14:paraId="0BCE1228" w14:textId="77777777" w:rsidR="005D29D7" w:rsidRPr="009325D3" w:rsidRDefault="005D29D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7B9B36AF" w14:textId="77777777" w:rsidR="005D29D7" w:rsidRPr="009325D3" w:rsidRDefault="005D29D7"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5D29D7" w:rsidRPr="009325D3" w14:paraId="481FC906" w14:textId="77777777" w:rsidTr="000B288C">
        <w:tc>
          <w:tcPr>
            <w:tcW w:w="3256" w:type="dxa"/>
            <w:vAlign w:val="center"/>
          </w:tcPr>
          <w:p w14:paraId="37FAC648" w14:textId="77777777" w:rsidR="005D29D7" w:rsidRPr="009325D3" w:rsidRDefault="005D29D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2A95991D" w14:textId="77777777" w:rsidR="005D29D7" w:rsidRPr="009325D3" w:rsidRDefault="005D29D7"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066FBCB5" w14:textId="77777777" w:rsidR="005D29D7" w:rsidRPr="009325D3" w:rsidRDefault="005D29D7" w:rsidP="005D29D7">
      <w:pPr>
        <w:pStyle w:val="Sansinterligne"/>
        <w:jc w:val="both"/>
        <w:rPr>
          <w:rFonts w:ascii="Calibri" w:hAnsi="Calibri" w:cs="Calibri"/>
        </w:rPr>
      </w:pPr>
    </w:p>
    <w:p w14:paraId="07A710D9" w14:textId="77777777" w:rsidR="005D29D7" w:rsidRPr="009325D3" w:rsidRDefault="005D29D7" w:rsidP="005D29D7">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2F3E04F0" w14:textId="77777777" w:rsidR="005D29D7" w:rsidRPr="009325D3" w:rsidRDefault="005D29D7" w:rsidP="005D29D7">
      <w:pPr>
        <w:pStyle w:val="Sansinterligne"/>
        <w:jc w:val="both"/>
        <w:rPr>
          <w:rFonts w:ascii="Calibri" w:hAnsi="Calibri" w:cs="Calibri"/>
        </w:rPr>
      </w:pPr>
    </w:p>
    <w:p w14:paraId="79503630" w14:textId="77777777" w:rsidR="005D29D7" w:rsidRPr="009325D3" w:rsidRDefault="005D29D7" w:rsidP="005D29D7">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rPr>
          <w:rFonts w:ascii="Calibri" w:hAnsi="Calibri" w:cs="Calibri"/>
        </w:rPr>
        <w:t>Service Programmation des Fonds européens FEDER FSE+</w:t>
      </w:r>
    </w:p>
    <w:p w14:paraId="153BC8D3" w14:textId="77777777" w:rsidR="005D29D7" w:rsidRDefault="005D29D7" w:rsidP="005D29D7">
      <w:pPr>
        <w:pStyle w:val="Sansinterligne"/>
        <w:jc w:val="both"/>
      </w:pPr>
      <w:r>
        <w:rPr>
          <w:noProof/>
        </w:rPr>
        <w:drawing>
          <wp:inline distT="0" distB="0" distL="0" distR="0" wp14:anchorId="22C369FF" wp14:editId="3DC61A5A">
            <wp:extent cx="204826" cy="204826"/>
            <wp:effectExtent l="0" t="0" r="5080" b="5080"/>
            <wp:docPr id="784945768" name="Picture 784945768"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31940405" w14:textId="77777777" w:rsidR="005D29D7" w:rsidRPr="009325D3" w:rsidRDefault="005D29D7" w:rsidP="005D29D7">
      <w:pPr>
        <w:pStyle w:val="Sansinterligne"/>
        <w:jc w:val="both"/>
        <w:rPr>
          <w:rFonts w:ascii="Calibri" w:hAnsi="Calibri" w:cs="Calibri"/>
        </w:rPr>
      </w:pPr>
    </w:p>
    <w:p w14:paraId="166B0498" w14:textId="77777777" w:rsidR="005D29D7" w:rsidRPr="009325D3" w:rsidRDefault="005D29D7" w:rsidP="005D29D7">
      <w:pPr>
        <w:rPr>
          <w:rFonts w:ascii="Calibri" w:hAnsi="Calibri" w:cs="Calibri"/>
        </w:rPr>
      </w:pPr>
      <w:r w:rsidRPr="009325D3">
        <w:rPr>
          <w:rFonts w:ascii="Calibri" w:hAnsi="Calibri" w:cs="Calibri"/>
        </w:rPr>
        <w:br w:type="page"/>
      </w:r>
    </w:p>
    <w:p w14:paraId="52074102" w14:textId="477F51AF" w:rsidR="005D29D7" w:rsidRPr="005D29D7" w:rsidRDefault="005D29D7" w:rsidP="005D29D7">
      <w:pPr>
        <w:pStyle w:val="Sansinterligne"/>
        <w:jc w:val="both"/>
        <w:rPr>
          <w:rFonts w:ascii="Calibri" w:hAnsi="Calibri" w:cs="Calibri"/>
          <w:b/>
          <w:bCs/>
          <w:color w:val="002060"/>
          <w:sz w:val="28"/>
          <w:szCs w:val="28"/>
        </w:rPr>
      </w:pPr>
      <w:r w:rsidRPr="009325D3">
        <w:rPr>
          <w:rFonts w:ascii="Calibri" w:hAnsi="Calibri" w:cs="Calibri"/>
          <w:b/>
          <w:bCs/>
          <w:color w:val="002060"/>
          <w:sz w:val="28"/>
          <w:szCs w:val="28"/>
        </w:rPr>
        <w:t xml:space="preserve">ANNEXE FICHE ACTION N°25 : Carte des communes </w:t>
      </w:r>
    </w:p>
    <w:p w14:paraId="307F0295" w14:textId="5CB0F0D1" w:rsidR="0001429F" w:rsidRPr="005D29D7" w:rsidRDefault="005D29D7" w:rsidP="005D29D7">
      <w:pPr>
        <w:pStyle w:val="Sansinterligne"/>
        <w:jc w:val="center"/>
        <w:rPr>
          <w:rFonts w:ascii="Calibri" w:hAnsi="Calibri" w:cs="Calibri"/>
          <w:b/>
          <w:bCs/>
          <w:color w:val="002060"/>
          <w:sz w:val="28"/>
          <w:szCs w:val="28"/>
        </w:rPr>
      </w:pPr>
      <w:r w:rsidRPr="009325D3">
        <w:rPr>
          <w:rFonts w:ascii="Calibri" w:hAnsi="Calibri" w:cs="Calibri"/>
          <w:noProof/>
        </w:rPr>
        <w:drawing>
          <wp:inline distT="0" distB="0" distL="0" distR="0" wp14:anchorId="73EDC9CE" wp14:editId="0463DF3F">
            <wp:extent cx="6400672" cy="9086850"/>
            <wp:effectExtent l="0" t="0" r="635" b="0"/>
            <wp:docPr id="784945457" name="Picture 78494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73" b="982"/>
                    <a:stretch/>
                  </pic:blipFill>
                  <pic:spPr bwMode="auto">
                    <a:xfrm>
                      <a:off x="0" y="0"/>
                      <a:ext cx="6420636" cy="9115192"/>
                    </a:xfrm>
                    <a:prstGeom prst="rect">
                      <a:avLst/>
                    </a:prstGeom>
                    <a:noFill/>
                    <a:ln>
                      <a:noFill/>
                    </a:ln>
                    <a:extLst>
                      <a:ext uri="{53640926-AAD7-44D8-BBD7-CCE9431645EC}">
                        <a14:shadowObscured xmlns:a14="http://schemas.microsoft.com/office/drawing/2010/main"/>
                      </a:ext>
                    </a:extLst>
                  </pic:spPr>
                </pic:pic>
              </a:graphicData>
            </a:graphic>
          </wp:inline>
        </w:drawing>
      </w:r>
    </w:p>
    <w:sectPr w:rsidR="0001429F" w:rsidRPr="005D29D7"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16E0"/>
    <w:multiLevelType w:val="hybridMultilevel"/>
    <w:tmpl w:val="A2BA3F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0DAF"/>
    <w:multiLevelType w:val="hybridMultilevel"/>
    <w:tmpl w:val="2FDA419A"/>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102F1"/>
    <w:multiLevelType w:val="hybridMultilevel"/>
    <w:tmpl w:val="1C3EBE6E"/>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F53BD"/>
    <w:multiLevelType w:val="hybridMultilevel"/>
    <w:tmpl w:val="82382D3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31403B"/>
    <w:multiLevelType w:val="hybridMultilevel"/>
    <w:tmpl w:val="99F244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71240"/>
    <w:multiLevelType w:val="hybridMultilevel"/>
    <w:tmpl w:val="A980382E"/>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B4035A"/>
    <w:multiLevelType w:val="hybridMultilevel"/>
    <w:tmpl w:val="8DCAF2F0"/>
    <w:lvl w:ilvl="0" w:tplc="A7C01A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34839"/>
    <w:multiLevelType w:val="hybridMultilevel"/>
    <w:tmpl w:val="ED883E1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4B265B"/>
    <w:multiLevelType w:val="hybridMultilevel"/>
    <w:tmpl w:val="47EA3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924919"/>
    <w:multiLevelType w:val="hybridMultilevel"/>
    <w:tmpl w:val="25C0915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66776CF"/>
    <w:multiLevelType w:val="hybridMultilevel"/>
    <w:tmpl w:val="EBF6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826E2E"/>
    <w:multiLevelType w:val="hybridMultilevel"/>
    <w:tmpl w:val="51605CFE"/>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CE52C5"/>
    <w:multiLevelType w:val="hybridMultilevel"/>
    <w:tmpl w:val="4BB6E822"/>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0E509A"/>
    <w:multiLevelType w:val="hybridMultilevel"/>
    <w:tmpl w:val="EDAA1E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385685376">
    <w:abstractNumId w:val="29"/>
  </w:num>
  <w:num w:numId="2" w16cid:durableId="1018241605">
    <w:abstractNumId w:val="36"/>
  </w:num>
  <w:num w:numId="3" w16cid:durableId="1955674559">
    <w:abstractNumId w:val="19"/>
  </w:num>
  <w:num w:numId="4" w16cid:durableId="84572070">
    <w:abstractNumId w:val="33"/>
  </w:num>
  <w:num w:numId="5" w16cid:durableId="1834684082">
    <w:abstractNumId w:val="25"/>
  </w:num>
  <w:num w:numId="6" w16cid:durableId="1504978353">
    <w:abstractNumId w:val="3"/>
  </w:num>
  <w:num w:numId="7" w16cid:durableId="492380591">
    <w:abstractNumId w:val="27"/>
  </w:num>
  <w:num w:numId="8" w16cid:durableId="439642375">
    <w:abstractNumId w:val="18"/>
  </w:num>
  <w:num w:numId="9" w16cid:durableId="139077418">
    <w:abstractNumId w:val="39"/>
  </w:num>
  <w:num w:numId="10" w16cid:durableId="2089763344">
    <w:abstractNumId w:val="16"/>
  </w:num>
  <w:num w:numId="11" w16cid:durableId="1498039622">
    <w:abstractNumId w:val="26"/>
  </w:num>
  <w:num w:numId="12" w16cid:durableId="235819661">
    <w:abstractNumId w:val="40"/>
  </w:num>
  <w:num w:numId="13" w16cid:durableId="1399474953">
    <w:abstractNumId w:val="20"/>
  </w:num>
  <w:num w:numId="14" w16cid:durableId="1560046661">
    <w:abstractNumId w:val="17"/>
  </w:num>
  <w:num w:numId="15" w16cid:durableId="1465806498">
    <w:abstractNumId w:val="0"/>
  </w:num>
  <w:num w:numId="16" w16cid:durableId="1508591349">
    <w:abstractNumId w:val="41"/>
  </w:num>
  <w:num w:numId="17" w16cid:durableId="1673410273">
    <w:abstractNumId w:val="31"/>
  </w:num>
  <w:num w:numId="18" w16cid:durableId="511839363">
    <w:abstractNumId w:val="11"/>
  </w:num>
  <w:num w:numId="19" w16cid:durableId="2014868614">
    <w:abstractNumId w:val="30"/>
  </w:num>
  <w:num w:numId="20" w16cid:durableId="41753328">
    <w:abstractNumId w:val="12"/>
  </w:num>
  <w:num w:numId="21" w16cid:durableId="2034838659">
    <w:abstractNumId w:val="37"/>
  </w:num>
  <w:num w:numId="22" w16cid:durableId="360129104">
    <w:abstractNumId w:val="8"/>
  </w:num>
  <w:num w:numId="23" w16cid:durableId="435179677">
    <w:abstractNumId w:val="5"/>
  </w:num>
  <w:num w:numId="24" w16cid:durableId="409625150">
    <w:abstractNumId w:val="15"/>
  </w:num>
  <w:num w:numId="25" w16cid:durableId="39059831">
    <w:abstractNumId w:val="35"/>
  </w:num>
  <w:num w:numId="26" w16cid:durableId="1542741244">
    <w:abstractNumId w:val="4"/>
  </w:num>
  <w:num w:numId="27" w16cid:durableId="759177387">
    <w:abstractNumId w:val="32"/>
  </w:num>
  <w:num w:numId="28" w16cid:durableId="2001928873">
    <w:abstractNumId w:val="23"/>
  </w:num>
  <w:num w:numId="29" w16cid:durableId="793249594">
    <w:abstractNumId w:val="38"/>
  </w:num>
  <w:num w:numId="30" w16cid:durableId="408624354">
    <w:abstractNumId w:val="34"/>
  </w:num>
  <w:num w:numId="31" w16cid:durableId="2137068316">
    <w:abstractNumId w:val="28"/>
  </w:num>
  <w:num w:numId="32" w16cid:durableId="898203319">
    <w:abstractNumId w:val="10"/>
  </w:num>
  <w:num w:numId="33" w16cid:durableId="1032224116">
    <w:abstractNumId w:val="1"/>
  </w:num>
  <w:num w:numId="34" w16cid:durableId="2142721927">
    <w:abstractNumId w:val="9"/>
  </w:num>
  <w:num w:numId="35" w16cid:durableId="1366640713">
    <w:abstractNumId w:val="14"/>
  </w:num>
  <w:num w:numId="36" w16cid:durableId="1131631181">
    <w:abstractNumId w:val="24"/>
  </w:num>
  <w:num w:numId="37" w16cid:durableId="1739090897">
    <w:abstractNumId w:val="13"/>
  </w:num>
  <w:num w:numId="38" w16cid:durableId="854421858">
    <w:abstractNumId w:val="2"/>
  </w:num>
  <w:num w:numId="39" w16cid:durableId="152448812">
    <w:abstractNumId w:val="21"/>
  </w:num>
  <w:num w:numId="40" w16cid:durableId="1441560695">
    <w:abstractNumId w:val="7"/>
  </w:num>
  <w:num w:numId="41" w16cid:durableId="1183282558">
    <w:abstractNumId w:val="22"/>
  </w:num>
  <w:num w:numId="42" w16cid:durableId="124094515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68D1"/>
    <w:rsid w:val="002C6E21"/>
    <w:rsid w:val="003004C5"/>
    <w:rsid w:val="00306CCC"/>
    <w:rsid w:val="00314B76"/>
    <w:rsid w:val="00370695"/>
    <w:rsid w:val="004F6093"/>
    <w:rsid w:val="005521DB"/>
    <w:rsid w:val="005D29D7"/>
    <w:rsid w:val="005F410E"/>
    <w:rsid w:val="006347A3"/>
    <w:rsid w:val="0065762F"/>
    <w:rsid w:val="00781940"/>
    <w:rsid w:val="007856FC"/>
    <w:rsid w:val="007D32D5"/>
    <w:rsid w:val="007E4FF6"/>
    <w:rsid w:val="007F4EF4"/>
    <w:rsid w:val="00820553"/>
    <w:rsid w:val="009057D7"/>
    <w:rsid w:val="009A2178"/>
    <w:rsid w:val="00A36E22"/>
    <w:rsid w:val="00AE38D5"/>
    <w:rsid w:val="00B801F8"/>
    <w:rsid w:val="00B87CF4"/>
    <w:rsid w:val="00C16113"/>
    <w:rsid w:val="00D349E1"/>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C30F0-F41E-4E3A-9110-C37E2EC4B86E}">
  <ds:schemaRefs>
    <ds:schemaRef ds:uri="http://schemas.microsoft.com/sharepoint/v3/contenttype/forms"/>
  </ds:schemaRefs>
</ds:datastoreItem>
</file>

<file path=customXml/itemProps2.xml><?xml version="1.0" encoding="utf-8"?>
<ds:datastoreItem xmlns:ds="http://schemas.openxmlformats.org/officeDocument/2006/customXml" ds:itemID="{51D07973-6119-411F-B1F6-45358265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0D2E6-D398-4C50-A0AE-3A540BCDE5B5}">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1796</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2022-11-30T12:52:00Z</dcterms:created>
  <dcterms:modified xsi:type="dcterms:W3CDTF">2024-01-10T15:30:00Z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