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4A4F00A7" w:rsidR="000E1C19" w:rsidRPr="006C22DB" w:rsidRDefault="007E4FF6" w:rsidP="000E1C19">
                            <w:pPr>
                              <w:pStyle w:val="Sansinterligne"/>
                              <w:jc w:val="center"/>
                              <w:rPr>
                                <w:b/>
                                <w:bCs/>
                              </w:rPr>
                            </w:pPr>
                            <w:r>
                              <w:rPr>
                                <w:b/>
                                <w:bCs/>
                              </w:rPr>
                              <w:t>2.</w:t>
                            </w:r>
                            <w:r w:rsidR="006A2AF7">
                              <w:rPr>
                                <w:b/>
                                <w:bC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4A4F00A7" w:rsidR="000E1C19" w:rsidRPr="006C22DB" w:rsidRDefault="007E4FF6" w:rsidP="000E1C19">
                      <w:pPr>
                        <w:pStyle w:val="Sansinterligne"/>
                        <w:jc w:val="center"/>
                        <w:rPr>
                          <w:b/>
                          <w:bCs/>
                        </w:rPr>
                      </w:pPr>
                      <w:r>
                        <w:rPr>
                          <w:b/>
                          <w:bCs/>
                        </w:rPr>
                        <w:t>2.</w:t>
                      </w:r>
                      <w:r w:rsidR="006A2AF7">
                        <w:rPr>
                          <w:b/>
                          <w:bCs/>
                        </w:rPr>
                        <w:t>8</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44E14D9A" w:rsidR="000E1C19" w:rsidRPr="006C22DB" w:rsidRDefault="006A2AF7" w:rsidP="000E1C19">
                            <w:pPr>
                              <w:pStyle w:val="Sansinterligne"/>
                              <w:jc w:val="center"/>
                              <w:rPr>
                                <w:b/>
                                <w:bCs/>
                              </w:rPr>
                            </w:pPr>
                            <w:r>
                              <w:rPr>
                                <w:b/>
                                <w:bC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44E14D9A" w:rsidR="000E1C19" w:rsidRPr="006C22DB" w:rsidRDefault="006A2AF7" w:rsidP="000E1C19">
                      <w:pPr>
                        <w:pStyle w:val="Sansinterligne"/>
                        <w:jc w:val="center"/>
                        <w:rPr>
                          <w:b/>
                          <w:bCs/>
                        </w:rPr>
                      </w:pPr>
                      <w:r>
                        <w:rPr>
                          <w:b/>
                          <w:bCs/>
                        </w:rPr>
                        <w:t>4</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2B0E5A82" w:rsidR="000E1C19" w:rsidRPr="006C22DB" w:rsidRDefault="007E4FF6" w:rsidP="000E1C19">
                            <w:pPr>
                              <w:pStyle w:val="Sansinterligne"/>
                              <w:jc w:val="center"/>
                              <w:rPr>
                                <w:b/>
                                <w:bCs/>
                              </w:rPr>
                            </w:pPr>
                            <w:r>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2B0E5A82" w:rsidR="000E1C19" w:rsidRPr="006C22DB" w:rsidRDefault="007E4FF6" w:rsidP="000E1C19">
                      <w:pPr>
                        <w:pStyle w:val="Sansinterligne"/>
                        <w:jc w:val="center"/>
                        <w:rPr>
                          <w:b/>
                          <w:bCs/>
                        </w:rPr>
                      </w:pPr>
                      <w:r>
                        <w:rPr>
                          <w:b/>
                          <w:bCs/>
                        </w:rPr>
                        <w:t>2</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655E0CEF" w14:textId="55C88ADD" w:rsidR="000E1C19" w:rsidRDefault="000E1C19" w:rsidP="000E1C19">
      <w:pPr>
        <w:rPr>
          <w:rFonts w:ascii="Calibri" w:hAnsi="Calibri" w:cs="Calibri"/>
        </w:rPr>
      </w:pPr>
    </w:p>
    <w:p w14:paraId="15633E4E" w14:textId="6F99A0BE" w:rsidR="0001429F" w:rsidRDefault="0001429F" w:rsidP="0001429F">
      <w:pPr>
        <w:pStyle w:val="Sansinterligne"/>
        <w:jc w:val="both"/>
        <w:rPr>
          <w:rFonts w:ascii="Calibri" w:hAnsi="Calibri" w:cs="Calibri"/>
          <w:sz w:val="10"/>
          <w:szCs w:val="10"/>
        </w:rPr>
      </w:pPr>
    </w:p>
    <w:p w14:paraId="73B87EFF" w14:textId="07ED0516" w:rsidR="0001429F" w:rsidRDefault="0001429F" w:rsidP="0001429F">
      <w:pPr>
        <w:pStyle w:val="Sansinterligne"/>
        <w:jc w:val="both"/>
        <w:rPr>
          <w:rFonts w:ascii="Calibri" w:hAnsi="Calibri" w:cs="Calibri"/>
          <w:sz w:val="10"/>
          <w:szCs w:val="10"/>
        </w:rPr>
      </w:pPr>
    </w:p>
    <w:p w14:paraId="2AE8C7A1" w14:textId="7D521604" w:rsidR="0001429F" w:rsidRDefault="0001429F" w:rsidP="0001429F">
      <w:pPr>
        <w:pStyle w:val="Sansinterligne"/>
        <w:jc w:val="both"/>
        <w:rPr>
          <w:rFonts w:ascii="Calibri" w:hAnsi="Calibri" w:cs="Calibri"/>
          <w:sz w:val="10"/>
          <w:szCs w:val="10"/>
        </w:rPr>
      </w:pPr>
    </w:p>
    <w:p w14:paraId="7BABEAA1" w14:textId="77777777" w:rsidR="00F6188A" w:rsidRDefault="00F6188A" w:rsidP="00F6188A">
      <w:pPr>
        <w:pStyle w:val="Sansinterligne"/>
        <w:jc w:val="both"/>
        <w:rPr>
          <w:rFonts w:ascii="Calibri" w:hAnsi="Calibri" w:cs="Calibri"/>
          <w:sz w:val="10"/>
          <w:szCs w:val="10"/>
        </w:rPr>
      </w:pPr>
    </w:p>
    <w:p w14:paraId="7EDD6836" w14:textId="77777777" w:rsidR="00F6188A" w:rsidRPr="009325D3" w:rsidRDefault="00F6188A" w:rsidP="00F6188A">
      <w:pPr>
        <w:pStyle w:val="Sansinterligne"/>
        <w:jc w:val="both"/>
        <w:rPr>
          <w:rFonts w:ascii="Calibri" w:hAnsi="Calibri" w:cs="Calibri"/>
          <w:sz w:val="10"/>
          <w:szCs w:val="10"/>
        </w:rPr>
      </w:pPr>
    </w:p>
    <w:tbl>
      <w:tblPr>
        <w:tblStyle w:val="Grilledutableau"/>
        <w:tblW w:w="10617" w:type="dxa"/>
        <w:tblLook w:val="04A0" w:firstRow="1" w:lastRow="0" w:firstColumn="1" w:lastColumn="0" w:noHBand="0" w:noVBand="1"/>
      </w:tblPr>
      <w:tblGrid>
        <w:gridCol w:w="2614"/>
        <w:gridCol w:w="2614"/>
        <w:gridCol w:w="2614"/>
        <w:gridCol w:w="2775"/>
      </w:tblGrid>
      <w:tr w:rsidR="00F6188A" w:rsidRPr="009325D3" w14:paraId="684A6BBC" w14:textId="77777777" w:rsidTr="00F6188A">
        <w:tc>
          <w:tcPr>
            <w:tcW w:w="10617"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0D550C11" w14:textId="77777777" w:rsidR="00F6188A" w:rsidRPr="009325D3" w:rsidRDefault="00F6188A" w:rsidP="000B288C">
            <w:pPr>
              <w:pStyle w:val="Titre"/>
              <w:outlineLvl w:val="2"/>
              <w:rPr>
                <w:rFonts w:cs="Calibri"/>
              </w:rPr>
            </w:pPr>
            <w:bookmarkStart w:id="0" w:name="_Toc116053896"/>
            <w:r w:rsidRPr="009325D3">
              <w:rPr>
                <w:rFonts w:cs="Calibri"/>
              </w:rPr>
              <w:t>Action n°26</w:t>
            </w:r>
            <w:bookmarkEnd w:id="0"/>
          </w:p>
          <w:p w14:paraId="12BC991B" w14:textId="77777777" w:rsidR="00F6188A" w:rsidRPr="009325D3" w:rsidRDefault="00F6188A" w:rsidP="000B288C">
            <w:pPr>
              <w:pStyle w:val="Titre"/>
              <w:outlineLvl w:val="2"/>
              <w:rPr>
                <w:rFonts w:cs="Calibri"/>
              </w:rPr>
            </w:pPr>
            <w:bookmarkStart w:id="1" w:name="_Toc116053897"/>
            <w:r w:rsidRPr="009325D3">
              <w:rPr>
                <w:rFonts w:cs="Calibri"/>
              </w:rPr>
              <w:t>Développement des gares multimodales</w:t>
            </w:r>
            <w:bookmarkEnd w:id="1"/>
            <w:r w:rsidRPr="009325D3">
              <w:rPr>
                <w:rFonts w:cs="Calibri"/>
              </w:rPr>
              <w:t xml:space="preserve"> </w:t>
            </w:r>
          </w:p>
        </w:tc>
      </w:tr>
      <w:tr w:rsidR="00F6188A" w:rsidRPr="009325D3" w14:paraId="57B7664D" w14:textId="77777777" w:rsidTr="00F6188A">
        <w:tc>
          <w:tcPr>
            <w:tcW w:w="2614" w:type="dxa"/>
            <w:tcBorders>
              <w:top w:val="single" w:sz="2" w:space="0" w:color="002060"/>
              <w:left w:val="single" w:sz="12" w:space="0" w:color="002060"/>
              <w:bottom w:val="single" w:sz="12" w:space="0" w:color="002060"/>
              <w:right w:val="single" w:sz="2" w:space="0" w:color="002060"/>
            </w:tcBorders>
            <w:vAlign w:val="center"/>
          </w:tcPr>
          <w:p w14:paraId="0A13FDB7" w14:textId="77777777" w:rsidR="00F6188A" w:rsidRPr="009325D3" w:rsidRDefault="00F6188A"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3BF916F8" w14:textId="77777777" w:rsidR="00F6188A" w:rsidRPr="009325D3" w:rsidRDefault="00F6188A" w:rsidP="000B288C">
            <w:pPr>
              <w:pStyle w:val="Sansinterligne"/>
              <w:jc w:val="center"/>
              <w:rPr>
                <w:rFonts w:ascii="Calibri" w:hAnsi="Calibri" w:cs="Calibri"/>
                <w:sz w:val="20"/>
                <w:szCs w:val="20"/>
              </w:rPr>
            </w:pPr>
            <w:r w:rsidRPr="00502C0B">
              <w:rPr>
                <w:rFonts w:ascii="Calibri" w:hAnsi="Calibri" w:cs="Calibri"/>
                <w:sz w:val="20"/>
                <w:szCs w:val="20"/>
              </w:rPr>
              <w:t>18/11/2022</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5DF2F87E" w14:textId="77777777" w:rsidR="00F6188A" w:rsidRPr="009325D3" w:rsidRDefault="00F6188A"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775" w:type="dxa"/>
            <w:tcBorders>
              <w:top w:val="single" w:sz="12" w:space="0" w:color="002060"/>
              <w:left w:val="single" w:sz="2" w:space="0" w:color="002060"/>
              <w:bottom w:val="single" w:sz="12" w:space="0" w:color="002060"/>
              <w:right w:val="single" w:sz="12" w:space="0" w:color="002060"/>
            </w:tcBorders>
            <w:vAlign w:val="center"/>
          </w:tcPr>
          <w:p w14:paraId="4D33CFCA" w14:textId="77777777" w:rsidR="00F6188A" w:rsidRPr="009325D3" w:rsidRDefault="00F6188A" w:rsidP="000B288C">
            <w:pPr>
              <w:pStyle w:val="Sansinterligne"/>
              <w:jc w:val="center"/>
              <w:rPr>
                <w:rFonts w:ascii="Calibri" w:hAnsi="Calibri" w:cs="Calibri"/>
                <w:sz w:val="20"/>
                <w:szCs w:val="20"/>
              </w:rPr>
            </w:pPr>
            <w:r w:rsidRPr="009325D3">
              <w:rPr>
                <w:rFonts w:ascii="Calibri" w:hAnsi="Calibri" w:cs="Calibri"/>
                <w:sz w:val="20"/>
                <w:szCs w:val="20"/>
              </w:rPr>
              <w:t>Sans objet</w:t>
            </w:r>
          </w:p>
        </w:tc>
      </w:tr>
    </w:tbl>
    <w:p w14:paraId="31DC83B9" w14:textId="77777777" w:rsidR="00F6188A" w:rsidRDefault="00F6188A" w:rsidP="00F6188A">
      <w:pPr>
        <w:pStyle w:val="Sansinterligne"/>
        <w:jc w:val="both"/>
      </w:pPr>
    </w:p>
    <w:p w14:paraId="73B60B53" w14:textId="77777777" w:rsidR="00F6188A" w:rsidRPr="004A7CAA" w:rsidRDefault="00F6188A" w:rsidP="00F6188A">
      <w:pPr>
        <w:pStyle w:val="Sansinterligne"/>
        <w:shd w:val="clear" w:color="auto" w:fill="DEEAF6" w:themeFill="accent5" w:themeFillTint="33"/>
        <w:jc w:val="both"/>
        <w:rPr>
          <w:b/>
          <w:bCs/>
          <w:color w:val="002060"/>
          <w:sz w:val="28"/>
          <w:szCs w:val="28"/>
        </w:rPr>
      </w:pPr>
      <w:r w:rsidRPr="004A7CAA">
        <w:rPr>
          <w:b/>
          <w:bCs/>
          <w:color w:val="FFFFFF" w:themeColor="background1"/>
          <w:sz w:val="28"/>
          <w:szCs w:val="28"/>
          <w:shd w:val="clear" w:color="auto" w:fill="002060"/>
        </w:rPr>
        <w:t>QUOI ?</w:t>
      </w:r>
      <w:r>
        <w:rPr>
          <w:b/>
          <w:bCs/>
          <w:color w:val="FFFFFF" w:themeColor="background1"/>
          <w:sz w:val="28"/>
          <w:szCs w:val="28"/>
          <w:shd w:val="clear" w:color="auto" w:fill="002060"/>
        </w:rPr>
        <w:t xml:space="preserve"> </w:t>
      </w:r>
      <w:r w:rsidRPr="004A7CAA">
        <w:rPr>
          <w:b/>
          <w:bCs/>
          <w:color w:val="002060"/>
          <w:sz w:val="28"/>
          <w:szCs w:val="28"/>
        </w:rPr>
        <w:t xml:space="preserve"> </w:t>
      </w:r>
      <w:r>
        <w:rPr>
          <w:b/>
          <w:bCs/>
          <w:color w:val="002060"/>
          <w:sz w:val="28"/>
          <w:szCs w:val="28"/>
        </w:rPr>
        <w:t>Contexte et o</w:t>
      </w:r>
      <w:r w:rsidRPr="004A7CAA">
        <w:rPr>
          <w:b/>
          <w:bCs/>
          <w:color w:val="002060"/>
          <w:sz w:val="28"/>
          <w:szCs w:val="28"/>
        </w:rPr>
        <w:t>bjectifs</w:t>
      </w:r>
    </w:p>
    <w:p w14:paraId="29DD550E" w14:textId="77777777" w:rsidR="00F6188A" w:rsidRDefault="00F6188A" w:rsidP="00F6188A">
      <w:pPr>
        <w:pStyle w:val="Sansinterligne"/>
        <w:jc w:val="both"/>
      </w:pPr>
    </w:p>
    <w:p w14:paraId="2B14D520" w14:textId="77777777" w:rsidR="00F6188A" w:rsidRDefault="00F6188A" w:rsidP="00F6188A">
      <w:pPr>
        <w:pStyle w:val="Sansinterligne"/>
        <w:jc w:val="both"/>
      </w:pPr>
      <w:r>
        <w:t xml:space="preserve">Dans le cadre du CPER 2015-2020, une enveloppe financière avait été attribuée dans le cadre du volet « territorial » pour 8 pôles d’échanges multimodaux en Centre-Val de Loire, correspondant aux 6 agglomérations et 2 Métropoles de la Région (objectifs stratégiques OSVT 2). </w:t>
      </w:r>
    </w:p>
    <w:p w14:paraId="5940FAB3" w14:textId="77777777" w:rsidR="00F6188A" w:rsidRDefault="00F6188A" w:rsidP="00F6188A">
      <w:pPr>
        <w:pStyle w:val="Sansinterligne"/>
        <w:jc w:val="both"/>
      </w:pPr>
    </w:p>
    <w:p w14:paraId="2CDE8935" w14:textId="77777777" w:rsidR="00F6188A" w:rsidRDefault="00F6188A" w:rsidP="00F6188A">
      <w:pPr>
        <w:pStyle w:val="Sansinterligne"/>
        <w:jc w:val="both"/>
      </w:pPr>
      <w:r>
        <w:t xml:space="preserve">Le CPER 2021-2027 intègre, au titre de l’objectif III-8 « Développer la mobilité durable », un financement dédié à l’aménagement de Pôles d’Echanges Multimodaux pour </w:t>
      </w:r>
      <w:r w:rsidRPr="00833908">
        <w:t>faciliter l’accès des usagers aux transports collectifs et d’améliorer les conditions de l’intermodalité</w:t>
      </w:r>
      <w:r>
        <w:t>.</w:t>
      </w:r>
    </w:p>
    <w:p w14:paraId="70428A78" w14:textId="77777777" w:rsidR="00F6188A" w:rsidRDefault="00F6188A" w:rsidP="00F6188A">
      <w:pPr>
        <w:pStyle w:val="Sansinterligne"/>
        <w:jc w:val="both"/>
      </w:pPr>
      <w:r>
        <w:t>L’ambition est d’accompagner l’aménagement, la création ou la rénovation de pôles d’échanges multimodaux, tant dans les pôles stratégiques de la région que dans les gares moins fréquentées, en articulation avec les projets d’urbanisme locaux.</w:t>
      </w:r>
    </w:p>
    <w:p w14:paraId="43C72417" w14:textId="77777777" w:rsidR="00F6188A" w:rsidRDefault="00F6188A" w:rsidP="00F6188A">
      <w:pPr>
        <w:pStyle w:val="Sansinterligne"/>
        <w:jc w:val="both"/>
      </w:pPr>
    </w:p>
    <w:p w14:paraId="49C061FE" w14:textId="77777777" w:rsidR="00F6188A" w:rsidRDefault="00F6188A" w:rsidP="00F6188A">
      <w:pPr>
        <w:pStyle w:val="Sansinterligne"/>
        <w:jc w:val="both"/>
      </w:pPr>
      <w:r>
        <w:t xml:space="preserve">L’aménagement de tels pôles d’échanges est un facteur décisif pour développer l’usage des transports en commun, grâce à un parcours physique de l’usager facilité, et au regroupement géographique des services et commerces permettant à l’usager des transports en commun de valoriser son temps de trajet ou d’attente.  </w:t>
      </w:r>
    </w:p>
    <w:p w14:paraId="747C2CBB" w14:textId="77777777" w:rsidR="00F6188A" w:rsidRDefault="00F6188A" w:rsidP="00F6188A">
      <w:pPr>
        <w:pStyle w:val="Sansinterligne"/>
        <w:jc w:val="both"/>
      </w:pPr>
    </w:p>
    <w:p w14:paraId="5ACCEB82" w14:textId="77777777" w:rsidR="00F6188A" w:rsidRDefault="00F6188A" w:rsidP="00F6188A">
      <w:pPr>
        <w:pStyle w:val="Sansinterligne"/>
        <w:jc w:val="both"/>
      </w:pPr>
      <w:r w:rsidRPr="00790485">
        <w:t>L’objectif est d’inciter l’usager à utiliser, sur l’ensemble de son parcours, le transport collectif (trains, car, bus…) et/ou les modes actifs (piétons, cyclistes), ce qui implique l’aménagement des points d’interconnexions de ses services, permettant l’articulation cohérente, accessible et sécurisé de ces modes de transports.</w:t>
      </w:r>
    </w:p>
    <w:p w14:paraId="0273B186" w14:textId="77777777" w:rsidR="00F6188A" w:rsidRDefault="00F6188A" w:rsidP="00F6188A">
      <w:pPr>
        <w:pStyle w:val="Sansinterligne"/>
        <w:jc w:val="both"/>
      </w:pPr>
    </w:p>
    <w:p w14:paraId="2B6E063F" w14:textId="77777777" w:rsidR="00F6188A" w:rsidRPr="004A7CAA" w:rsidRDefault="00F6188A" w:rsidP="00F6188A">
      <w:pPr>
        <w:pStyle w:val="Sansinterligne"/>
        <w:shd w:val="clear" w:color="auto" w:fill="DEEAF6" w:themeFill="accent5" w:themeFillTint="33"/>
        <w:jc w:val="both"/>
        <w:rPr>
          <w:b/>
          <w:bCs/>
          <w:color w:val="002060"/>
          <w:sz w:val="28"/>
          <w:szCs w:val="28"/>
        </w:rPr>
      </w:pPr>
      <w:r w:rsidRPr="004A7CAA">
        <w:rPr>
          <w:b/>
          <w:bCs/>
          <w:color w:val="FFFFFF" w:themeColor="background1"/>
          <w:sz w:val="28"/>
          <w:szCs w:val="28"/>
          <w:shd w:val="clear" w:color="auto" w:fill="002060"/>
        </w:rPr>
        <w:t xml:space="preserve">QUOI ? </w:t>
      </w:r>
      <w:r>
        <w:rPr>
          <w:b/>
          <w:bCs/>
          <w:color w:val="002060"/>
          <w:sz w:val="28"/>
          <w:szCs w:val="28"/>
        </w:rPr>
        <w:t xml:space="preserve"> Description des interventions soutenues dans le Programme </w:t>
      </w:r>
    </w:p>
    <w:p w14:paraId="36F26AF1" w14:textId="77777777" w:rsidR="00F6188A" w:rsidRDefault="00F6188A" w:rsidP="00F6188A">
      <w:pPr>
        <w:pStyle w:val="Sansinterligne"/>
        <w:jc w:val="both"/>
      </w:pPr>
    </w:p>
    <w:p w14:paraId="0CFD780B" w14:textId="77777777" w:rsidR="00F6188A" w:rsidRDefault="00F6188A" w:rsidP="00F6188A">
      <w:pPr>
        <w:pStyle w:val="Sansinterligne"/>
        <w:jc w:val="both"/>
      </w:pPr>
      <w:r>
        <w:t xml:space="preserve">Le soutien du FEDER vise à faire émerger et à accélérer les projets d’aménagements de pôles d’échanges multimodaux sur le territoire, facilitant pour les voyageurs l’usage articulé des différents modes de mobilité durable. </w:t>
      </w:r>
    </w:p>
    <w:p w14:paraId="72F30553" w14:textId="77777777" w:rsidR="00F6188A" w:rsidRDefault="00F6188A" w:rsidP="00F6188A">
      <w:pPr>
        <w:pStyle w:val="Sansinterligne"/>
        <w:jc w:val="both"/>
      </w:pPr>
    </w:p>
    <w:p w14:paraId="70203E5B" w14:textId="77777777" w:rsidR="00F6188A" w:rsidRDefault="00F6188A" w:rsidP="00F6188A">
      <w:pPr>
        <w:pStyle w:val="Sansinterligne"/>
        <w:jc w:val="both"/>
      </w:pPr>
      <w:r>
        <w:t>Ces projets sont portés par des maîtres d’ouvrages locaux (communes, EPCI), et animés par des comités de pilotage partenariaux, visant la prise en compte des besoins de l’ensemble des acteurs.</w:t>
      </w:r>
    </w:p>
    <w:p w14:paraId="200516FB" w14:textId="77777777" w:rsidR="00F6188A" w:rsidRDefault="00F6188A" w:rsidP="00F6188A">
      <w:pPr>
        <w:pStyle w:val="Sansinterligne"/>
        <w:jc w:val="both"/>
      </w:pPr>
    </w:p>
    <w:p w14:paraId="7E4F60A3" w14:textId="77777777" w:rsidR="00F6188A" w:rsidRDefault="00F6188A" w:rsidP="00F6188A">
      <w:pPr>
        <w:pStyle w:val="Sansinterligne"/>
        <w:jc w:val="both"/>
      </w:pPr>
      <w:r w:rsidRPr="00AC0944">
        <w:t xml:space="preserve">Les </w:t>
      </w:r>
      <w:r>
        <w:t xml:space="preserve">opérations concernées sont les suivantes : </w:t>
      </w:r>
    </w:p>
    <w:p w14:paraId="463B5C07" w14:textId="77777777" w:rsidR="00F6188A" w:rsidRDefault="00F6188A" w:rsidP="00F6188A">
      <w:pPr>
        <w:pStyle w:val="Sansinterligne"/>
        <w:jc w:val="both"/>
      </w:pPr>
    </w:p>
    <w:p w14:paraId="6E465A79" w14:textId="77777777" w:rsidR="00F6188A" w:rsidRDefault="00F6188A" w:rsidP="00F6188A">
      <w:pPr>
        <w:pStyle w:val="Sansinterligne"/>
        <w:numPr>
          <w:ilvl w:val="0"/>
          <w:numId w:val="1"/>
        </w:numPr>
      </w:pPr>
      <w:r>
        <w:t>Aménagements d’intermodalité : équipements permettant l’intermodalité et visant à favoriser le recours à des modes alternatifs à la voiture individuelle et la correspondance entre ces mobilités (stationnement VL à proximité de la gare, parvis, cheminement piétons et cyclable, quais, signalétique, borne de recharge, éclairage, abri vélos…),</w:t>
      </w:r>
    </w:p>
    <w:p w14:paraId="1C09BD4F" w14:textId="77777777" w:rsidR="00F6188A" w:rsidRDefault="00F6188A" w:rsidP="00F6188A">
      <w:pPr>
        <w:pStyle w:val="Sansinterligne"/>
      </w:pPr>
    </w:p>
    <w:p w14:paraId="3CB04229" w14:textId="77777777" w:rsidR="00F6188A" w:rsidRDefault="00F6188A" w:rsidP="00F6188A">
      <w:pPr>
        <w:pStyle w:val="Sansinterligne"/>
        <w:numPr>
          <w:ilvl w:val="0"/>
          <w:numId w:val="1"/>
        </w:numPr>
      </w:pPr>
      <w:r>
        <w:t>Aménagements liés aux services rendus aux usagers : information, confort, accessibilité, sécurité des voyageurs (abri, mobilier, signalétique dynamique et fixe, revêtement de quai jalonnement, bande d’éveil…),</w:t>
      </w:r>
    </w:p>
    <w:p w14:paraId="50E6FD27" w14:textId="77777777" w:rsidR="00F6188A" w:rsidRDefault="00F6188A" w:rsidP="00F6188A">
      <w:pPr>
        <w:pStyle w:val="Sansinterligne"/>
      </w:pPr>
    </w:p>
    <w:p w14:paraId="488AAE57" w14:textId="77777777" w:rsidR="00F6188A" w:rsidRDefault="00F6188A" w:rsidP="00F6188A">
      <w:pPr>
        <w:pStyle w:val="Sansinterligne"/>
        <w:numPr>
          <w:ilvl w:val="0"/>
          <w:numId w:val="1"/>
        </w:numPr>
      </w:pPr>
      <w:r>
        <w:t>Bâtiments situés en gare (ferroviaire/routière) : rénovation ou démolition de bâtiments propriété SNCF ou collectivités territoriales/EPCI,</w:t>
      </w:r>
    </w:p>
    <w:p w14:paraId="0B4F0C09" w14:textId="77777777" w:rsidR="00F6188A" w:rsidRDefault="00F6188A" w:rsidP="00F6188A">
      <w:pPr>
        <w:pStyle w:val="Sansinterligne"/>
      </w:pPr>
    </w:p>
    <w:p w14:paraId="728D733C" w14:textId="77777777" w:rsidR="00F6188A" w:rsidRDefault="00F6188A" w:rsidP="00F6188A">
      <w:pPr>
        <w:pStyle w:val="Sansinterligne"/>
        <w:numPr>
          <w:ilvl w:val="0"/>
          <w:numId w:val="1"/>
        </w:numPr>
        <w:jc w:val="both"/>
      </w:pPr>
      <w:r>
        <w:t>Ouvrages d’art (passerelle, passage souterrain permettant l’accès aux transports collectifs).</w:t>
      </w:r>
    </w:p>
    <w:p w14:paraId="23F41B76" w14:textId="77777777" w:rsidR="00F6188A" w:rsidRDefault="00F6188A" w:rsidP="00F6188A">
      <w:pPr>
        <w:pStyle w:val="Sansinterligne"/>
        <w:jc w:val="both"/>
      </w:pPr>
    </w:p>
    <w:p w14:paraId="66CE4712" w14:textId="77777777" w:rsidR="00F6188A" w:rsidRPr="00AC0944" w:rsidRDefault="00F6188A" w:rsidP="00F6188A">
      <w:pPr>
        <w:pStyle w:val="Sansinterligne"/>
        <w:jc w:val="both"/>
      </w:pPr>
    </w:p>
    <w:p w14:paraId="12896924" w14:textId="77777777" w:rsidR="00F6188A" w:rsidRDefault="00F6188A" w:rsidP="00F6188A">
      <w:pPr>
        <w:pStyle w:val="Sansinterligne"/>
      </w:pPr>
      <w:r>
        <w:t xml:space="preserve">Sans être exhaustifs ni figés, plusieurs projets sont d’ores et déjà identifiés sur le territoire régional et pourront être étudiés au titre du FEDER : </w:t>
      </w:r>
    </w:p>
    <w:p w14:paraId="3C933743" w14:textId="77777777" w:rsidR="00F6188A" w:rsidRDefault="00F6188A" w:rsidP="00F6188A">
      <w:pPr>
        <w:pStyle w:val="Sansinterligne"/>
      </w:pPr>
    </w:p>
    <w:p w14:paraId="76BBCD1E" w14:textId="77777777" w:rsidR="00F6188A" w:rsidRDefault="00F6188A" w:rsidP="00F6188A">
      <w:pPr>
        <w:pStyle w:val="Sansinterligne"/>
        <w:numPr>
          <w:ilvl w:val="0"/>
          <w:numId w:val="1"/>
        </w:numPr>
      </w:pPr>
      <w:r>
        <w:t>Bourges : l’aménagement du pôle gare routière à proximité de la gare ferroviaire,</w:t>
      </w:r>
    </w:p>
    <w:p w14:paraId="1DB8F88E" w14:textId="77777777" w:rsidR="00F6188A" w:rsidRDefault="00F6188A" w:rsidP="00F6188A">
      <w:pPr>
        <w:pStyle w:val="Sansinterligne"/>
        <w:numPr>
          <w:ilvl w:val="0"/>
          <w:numId w:val="1"/>
        </w:numPr>
      </w:pPr>
      <w:r>
        <w:t>Châteauroux : réalisation d’une passerelle,</w:t>
      </w:r>
    </w:p>
    <w:p w14:paraId="5C240E6A" w14:textId="77777777" w:rsidR="00F6188A" w:rsidRDefault="00F6188A" w:rsidP="00F6188A">
      <w:pPr>
        <w:pStyle w:val="Sansinterligne"/>
        <w:numPr>
          <w:ilvl w:val="0"/>
          <w:numId w:val="1"/>
        </w:numPr>
      </w:pPr>
      <w:r>
        <w:t>Orléans : aménager la gare routière gérée par la Région (ligne interurbaine), dans le cadre du verdissement des cars,</w:t>
      </w:r>
    </w:p>
    <w:p w14:paraId="6E49E680" w14:textId="77777777" w:rsidR="00F6188A" w:rsidRPr="009F0BBF" w:rsidRDefault="00F6188A" w:rsidP="00F6188A">
      <w:pPr>
        <w:pStyle w:val="Sansinterligne"/>
        <w:numPr>
          <w:ilvl w:val="0"/>
          <w:numId w:val="1"/>
        </w:numPr>
      </w:pPr>
      <w:r>
        <w:t xml:space="preserve">Saint Pierre des corps : réaménagement du quartier gare (déplacement du bâtiment voyageur, réorganisation </w:t>
      </w:r>
      <w:r w:rsidRPr="009F0BBF">
        <w:t>des stationnements VL</w:t>
      </w:r>
      <w:r>
        <w:t xml:space="preserve">, </w:t>
      </w:r>
      <w:r w:rsidRPr="009F0BBF">
        <w:t>passerelle, réaménagement des parvis, développement des modes actifs)</w:t>
      </w:r>
      <w:r>
        <w:t>,</w:t>
      </w:r>
    </w:p>
    <w:p w14:paraId="241CAF38" w14:textId="77777777" w:rsidR="00F6188A" w:rsidRPr="009F0BBF" w:rsidRDefault="00F6188A" w:rsidP="00F6188A">
      <w:pPr>
        <w:pStyle w:val="Sansinterligne"/>
        <w:numPr>
          <w:ilvl w:val="0"/>
          <w:numId w:val="1"/>
        </w:numPr>
        <w:jc w:val="both"/>
      </w:pPr>
      <w:r w:rsidRPr="009F0BBF">
        <w:t>Beaugency et Vierzon : réaménagement des abords de la gare et amélioration de l’intermodalité (cheminement…)</w:t>
      </w:r>
      <w:r>
        <w:t>.</w:t>
      </w:r>
    </w:p>
    <w:p w14:paraId="7B7AAE6A" w14:textId="77777777" w:rsidR="00F6188A" w:rsidRDefault="00F6188A" w:rsidP="00F6188A">
      <w:pPr>
        <w:pStyle w:val="Sansinterligne"/>
        <w:jc w:val="both"/>
        <w:rPr>
          <w:b/>
          <w:bCs/>
          <w:color w:val="002060"/>
        </w:rPr>
      </w:pPr>
    </w:p>
    <w:p w14:paraId="2C8205C1" w14:textId="77777777" w:rsidR="00F6188A" w:rsidRPr="002C70D5" w:rsidRDefault="00F6188A" w:rsidP="00F6188A">
      <w:pPr>
        <w:pStyle w:val="Sansinterligne"/>
        <w:shd w:val="clear" w:color="auto" w:fill="B3FFEB"/>
        <w:jc w:val="both"/>
        <w:rPr>
          <w:b/>
          <w:bCs/>
          <w:sz w:val="28"/>
          <w:szCs w:val="28"/>
        </w:rPr>
      </w:pPr>
      <w:r w:rsidRPr="002C70D5">
        <w:rPr>
          <w:b/>
          <w:bCs/>
          <w:color w:val="FFFFFF" w:themeColor="background1"/>
          <w:sz w:val="28"/>
          <w:szCs w:val="28"/>
          <w:shd w:val="clear" w:color="auto" w:fill="00CC99"/>
        </w:rPr>
        <w:t xml:space="preserve">QUI ? </w:t>
      </w:r>
      <w:r w:rsidRPr="002C70D5">
        <w:rPr>
          <w:b/>
          <w:bCs/>
          <w:sz w:val="28"/>
          <w:szCs w:val="28"/>
        </w:rPr>
        <w:t xml:space="preserve"> </w:t>
      </w:r>
      <w:r w:rsidRPr="002C70D5">
        <w:rPr>
          <w:b/>
          <w:bCs/>
          <w:color w:val="002060"/>
          <w:sz w:val="28"/>
          <w:szCs w:val="28"/>
        </w:rPr>
        <w:t>Bénéficiaires potentiels</w:t>
      </w:r>
    </w:p>
    <w:p w14:paraId="132390A9" w14:textId="77777777" w:rsidR="00F6188A" w:rsidRDefault="00F6188A" w:rsidP="00F6188A">
      <w:pPr>
        <w:pStyle w:val="Sansinterligne"/>
        <w:jc w:val="both"/>
      </w:pPr>
    </w:p>
    <w:p w14:paraId="56716B2D" w14:textId="77777777" w:rsidR="00F6188A" w:rsidRDefault="00F6188A" w:rsidP="00F6188A">
      <w:pPr>
        <w:pStyle w:val="Sansinterligne"/>
        <w:jc w:val="both"/>
      </w:pPr>
      <w:r>
        <w:t>-</w:t>
      </w:r>
      <w:r>
        <w:tab/>
        <w:t xml:space="preserve">Collectivités territoriales et leurs groupements ou leurs délégataires, </w:t>
      </w:r>
    </w:p>
    <w:p w14:paraId="582977A3" w14:textId="77777777" w:rsidR="00F6188A" w:rsidRDefault="00F6188A" w:rsidP="00F6188A">
      <w:pPr>
        <w:pStyle w:val="Sansinterligne"/>
        <w:jc w:val="both"/>
      </w:pPr>
      <w:r>
        <w:t>-</w:t>
      </w:r>
      <w:r>
        <w:tab/>
        <w:t>SNCF.</w:t>
      </w:r>
    </w:p>
    <w:p w14:paraId="49DF7D55" w14:textId="77777777" w:rsidR="00F6188A" w:rsidRDefault="00F6188A" w:rsidP="00F6188A">
      <w:pPr>
        <w:pStyle w:val="Sansinterligne"/>
        <w:jc w:val="both"/>
      </w:pPr>
    </w:p>
    <w:p w14:paraId="1DD80CE8" w14:textId="77777777" w:rsidR="00F6188A" w:rsidRDefault="00F6188A" w:rsidP="00F6188A">
      <w:pPr>
        <w:pStyle w:val="Sansinterligne"/>
        <w:shd w:val="clear" w:color="auto" w:fill="C5F0FF"/>
        <w:jc w:val="both"/>
        <w:rPr>
          <w:b/>
          <w:bCs/>
          <w:color w:val="002060"/>
          <w:sz w:val="28"/>
          <w:szCs w:val="28"/>
        </w:rPr>
      </w:pPr>
      <w:r w:rsidRPr="002C70D5">
        <w:rPr>
          <w:b/>
          <w:bCs/>
          <w:color w:val="FFFFFF" w:themeColor="background1"/>
          <w:sz w:val="28"/>
          <w:szCs w:val="28"/>
          <w:shd w:val="clear" w:color="auto" w:fill="0099CC"/>
        </w:rPr>
        <w:t>O</w:t>
      </w:r>
      <w:r w:rsidRPr="002C70D5">
        <w:rPr>
          <w:rFonts w:cstheme="minorHAnsi"/>
          <w:b/>
          <w:bCs/>
          <w:color w:val="FFFFFF" w:themeColor="background1"/>
          <w:sz w:val="28"/>
          <w:szCs w:val="28"/>
          <w:shd w:val="clear" w:color="auto" w:fill="0099CC"/>
        </w:rPr>
        <w:t>Ù</w:t>
      </w:r>
      <w:r w:rsidRPr="002C70D5">
        <w:rPr>
          <w:b/>
          <w:bCs/>
          <w:color w:val="FFFFFF" w:themeColor="background1"/>
          <w:sz w:val="28"/>
          <w:szCs w:val="28"/>
          <w:shd w:val="clear" w:color="auto" w:fill="0099CC"/>
        </w:rPr>
        <w:t> ?</w:t>
      </w:r>
      <w:r w:rsidRPr="002C70D5">
        <w:rPr>
          <w:b/>
          <w:bCs/>
          <w:sz w:val="28"/>
          <w:szCs w:val="28"/>
          <w:shd w:val="clear" w:color="auto" w:fill="0099CC"/>
        </w:rPr>
        <w:t xml:space="preserve"> </w:t>
      </w:r>
      <w:r w:rsidRPr="002C70D5">
        <w:rPr>
          <w:b/>
          <w:bCs/>
          <w:sz w:val="28"/>
          <w:szCs w:val="28"/>
        </w:rPr>
        <w:t xml:space="preserve"> </w:t>
      </w:r>
      <w:r w:rsidRPr="002C70D5">
        <w:rPr>
          <w:b/>
          <w:bCs/>
          <w:color w:val="002060"/>
          <w:sz w:val="28"/>
          <w:szCs w:val="28"/>
        </w:rPr>
        <w:t>Territoires cibles</w:t>
      </w:r>
    </w:p>
    <w:p w14:paraId="0473F0C2" w14:textId="77777777" w:rsidR="00F6188A" w:rsidRDefault="00F6188A" w:rsidP="00F6188A">
      <w:pPr>
        <w:pStyle w:val="Sansinterligne"/>
        <w:jc w:val="both"/>
      </w:pPr>
    </w:p>
    <w:p w14:paraId="6EE7F919" w14:textId="77777777" w:rsidR="00F6188A" w:rsidRPr="004F52B0" w:rsidRDefault="00F6188A" w:rsidP="00F6188A">
      <w:pPr>
        <w:adjustRightInd w:val="0"/>
        <w:jc w:val="left"/>
        <w:rPr>
          <w:rFonts w:asciiTheme="minorHAnsi" w:hAnsiTheme="minorHAnsi" w:cstheme="minorHAnsi"/>
          <w:sz w:val="22"/>
        </w:rPr>
      </w:pPr>
      <w:r w:rsidRPr="004F52B0">
        <w:rPr>
          <w:rFonts w:asciiTheme="minorHAnsi" w:hAnsiTheme="minorHAnsi" w:cstheme="minorHAnsi"/>
          <w:sz w:val="22"/>
        </w:rPr>
        <w:t>Région Centre-Val de Loire</w:t>
      </w:r>
    </w:p>
    <w:p w14:paraId="544C1DE1" w14:textId="77777777" w:rsidR="00F6188A" w:rsidRPr="002C70D5" w:rsidRDefault="00F6188A" w:rsidP="00F6188A">
      <w:pPr>
        <w:pStyle w:val="Sansinterligne"/>
        <w:shd w:val="clear" w:color="auto" w:fill="FBE4D5" w:themeFill="accent2" w:themeFillTint="33"/>
        <w:jc w:val="both"/>
        <w:rPr>
          <w:b/>
          <w:bCs/>
          <w:sz w:val="28"/>
          <w:szCs w:val="28"/>
        </w:rPr>
      </w:pPr>
      <w:r w:rsidRPr="00DB5B1E">
        <w:rPr>
          <w:b/>
          <w:bCs/>
          <w:color w:val="FFFFFF" w:themeColor="background1"/>
          <w:sz w:val="28"/>
          <w:szCs w:val="28"/>
          <w:shd w:val="clear" w:color="auto" w:fill="ED7D31" w:themeFill="accent2"/>
        </w:rPr>
        <w:t>QUEL</w:t>
      </w:r>
      <w:r>
        <w:rPr>
          <w:b/>
          <w:bCs/>
          <w:color w:val="FFFFFF" w:themeColor="background1"/>
          <w:sz w:val="28"/>
          <w:szCs w:val="28"/>
          <w:shd w:val="clear" w:color="auto" w:fill="ED7D31" w:themeFill="accent2"/>
        </w:rPr>
        <w:t xml:space="preserve">LES CONDITIONS </w:t>
      </w:r>
      <w:r w:rsidRPr="00DB5B1E">
        <w:rPr>
          <w:b/>
          <w:bCs/>
          <w:color w:val="FFFFFF" w:themeColor="background1"/>
          <w:sz w:val="28"/>
          <w:szCs w:val="28"/>
          <w:shd w:val="clear" w:color="auto" w:fill="ED7D31" w:themeFill="accent2"/>
        </w:rPr>
        <w:t>?</w:t>
      </w:r>
      <w:r w:rsidRPr="00DB5B1E">
        <w:rPr>
          <w:b/>
          <w:bCs/>
          <w:sz w:val="28"/>
          <w:szCs w:val="28"/>
          <w:shd w:val="clear" w:color="auto" w:fill="ED7D31" w:themeFill="accent2"/>
        </w:rPr>
        <w:t xml:space="preserve"> </w:t>
      </w:r>
      <w:r>
        <w:rPr>
          <w:b/>
          <w:bCs/>
          <w:sz w:val="28"/>
          <w:szCs w:val="28"/>
        </w:rPr>
        <w:t xml:space="preserve"> </w:t>
      </w:r>
      <w:r>
        <w:rPr>
          <w:b/>
          <w:bCs/>
          <w:color w:val="002060"/>
          <w:sz w:val="28"/>
          <w:szCs w:val="28"/>
        </w:rPr>
        <w:t>Critères de sélection des projets</w:t>
      </w:r>
    </w:p>
    <w:p w14:paraId="07232CDD" w14:textId="77777777" w:rsidR="00F6188A" w:rsidRDefault="00F6188A" w:rsidP="00F6188A">
      <w:pPr>
        <w:pStyle w:val="Sansinterligne"/>
        <w:jc w:val="both"/>
      </w:pPr>
    </w:p>
    <w:p w14:paraId="6B7CD1E1" w14:textId="77777777" w:rsidR="00F6188A" w:rsidRDefault="00F6188A" w:rsidP="00F6188A">
      <w:pPr>
        <w:pStyle w:val="Sansinterligne"/>
      </w:pPr>
      <w:r>
        <w:t>Sont concernés l’aménagement de pôles d’échanges (ruraux ou urbains) suivants :</w:t>
      </w:r>
    </w:p>
    <w:p w14:paraId="2E8C9C66" w14:textId="77777777" w:rsidR="00F6188A" w:rsidRDefault="00F6188A" w:rsidP="00F6188A">
      <w:pPr>
        <w:pStyle w:val="Sansinterligne"/>
      </w:pPr>
    </w:p>
    <w:p w14:paraId="6358D20A" w14:textId="77777777" w:rsidR="00F6188A" w:rsidRPr="00B55122" w:rsidRDefault="00F6188A" w:rsidP="00F6188A">
      <w:pPr>
        <w:numPr>
          <w:ilvl w:val="0"/>
          <w:numId w:val="1"/>
        </w:numPr>
        <w:spacing w:after="0" w:line="240" w:lineRule="auto"/>
        <w:rPr>
          <w:rFonts w:asciiTheme="minorHAnsi" w:hAnsiTheme="minorHAnsi" w:cstheme="minorHAnsi"/>
          <w:sz w:val="22"/>
        </w:rPr>
      </w:pPr>
      <w:r w:rsidRPr="75B9F01A">
        <w:rPr>
          <w:rFonts w:asciiTheme="minorHAnsi" w:hAnsiTheme="minorHAnsi"/>
          <w:sz w:val="22"/>
        </w:rPr>
        <w:t>Situés prioritairement dans les pôles de centralité (Vierzon, Nogent, Châteaudun, Loches, Château-Renault, Chinon, Amboise…) ou des agglomérations (Châteauroux, Bourges…), voire de plus petits pôles à vocation rurale,</w:t>
      </w:r>
    </w:p>
    <w:p w14:paraId="617EB36E" w14:textId="77777777" w:rsidR="00F6188A" w:rsidRPr="003133AA" w:rsidRDefault="00F6188A" w:rsidP="00F6188A">
      <w:pPr>
        <w:pStyle w:val="Sansinterligne"/>
        <w:numPr>
          <w:ilvl w:val="0"/>
          <w:numId w:val="1"/>
        </w:numPr>
        <w:rPr>
          <w:rFonts w:cstheme="minorHAnsi"/>
        </w:rPr>
      </w:pPr>
      <w:r w:rsidRPr="75B9F01A">
        <w:t>Comprenant plusieurs modes de déplacement, soit 1 ou 2 transport collectif et un mode actif,</w:t>
      </w:r>
    </w:p>
    <w:p w14:paraId="54B66F15" w14:textId="77777777" w:rsidR="00F6188A" w:rsidRPr="003133AA" w:rsidRDefault="00F6188A" w:rsidP="00F6188A">
      <w:pPr>
        <w:pStyle w:val="Sansinterligne"/>
        <w:numPr>
          <w:ilvl w:val="0"/>
          <w:numId w:val="1"/>
        </w:numPr>
        <w:rPr>
          <w:rFonts w:cstheme="minorHAnsi"/>
        </w:rPr>
      </w:pPr>
      <w:r w:rsidRPr="75B9F01A">
        <w:t>Avec de forts enjeux d’intermodalité (notamment projets autour d’une gare ferroviaire ou gare routière ou point d’arrêt routier),</w:t>
      </w:r>
    </w:p>
    <w:p w14:paraId="75D05696" w14:textId="77777777" w:rsidR="00F6188A" w:rsidRPr="003133AA" w:rsidRDefault="00F6188A" w:rsidP="00F6188A">
      <w:pPr>
        <w:pStyle w:val="Sansinterligne"/>
        <w:numPr>
          <w:ilvl w:val="0"/>
          <w:numId w:val="1"/>
        </w:numPr>
        <w:rPr>
          <w:rFonts w:cstheme="minorHAnsi"/>
        </w:rPr>
      </w:pPr>
      <w:r w:rsidRPr="75B9F01A">
        <w:t>Pouvant intégrer également l’amélioration de services aux usagers (bâtiment voyageurs, mobiliers…)</w:t>
      </w:r>
    </w:p>
    <w:p w14:paraId="5496B027" w14:textId="77777777" w:rsidR="00F6188A" w:rsidRPr="0048782D" w:rsidRDefault="00F6188A" w:rsidP="00F6188A">
      <w:pPr>
        <w:pStyle w:val="Sansinterligne"/>
        <w:jc w:val="both"/>
      </w:pPr>
    </w:p>
    <w:p w14:paraId="33F0A528" w14:textId="77777777" w:rsidR="00F6188A" w:rsidRDefault="00F6188A" w:rsidP="00F6188A">
      <w:pPr>
        <w:pStyle w:val="Sansinterligne"/>
        <w:jc w:val="both"/>
      </w:pPr>
      <w:r w:rsidRPr="001943D6">
        <w:t xml:space="preserve">Ces critères seront </w:t>
      </w:r>
      <w:r>
        <w:t>précisés</w:t>
      </w:r>
      <w:r w:rsidRPr="001943D6">
        <w:t xml:space="preserve"> dans un cadre d’intervention </w:t>
      </w:r>
      <w:r>
        <w:t>et/</w:t>
      </w:r>
      <w:r w:rsidRPr="001943D6">
        <w:t>ou</w:t>
      </w:r>
      <w:r>
        <w:t xml:space="preserve"> </w:t>
      </w:r>
      <w:r w:rsidRPr="001943D6">
        <w:t>un appel à manifestation d’intérêt.</w:t>
      </w:r>
    </w:p>
    <w:p w14:paraId="31FCB2F8" w14:textId="77777777" w:rsidR="00F6188A" w:rsidRPr="0048782D" w:rsidRDefault="00F6188A" w:rsidP="00F6188A">
      <w:pPr>
        <w:pStyle w:val="Sansinterligne"/>
        <w:jc w:val="both"/>
      </w:pPr>
    </w:p>
    <w:p w14:paraId="466A99DA" w14:textId="77777777" w:rsidR="00F6188A" w:rsidRPr="002C70D5" w:rsidRDefault="00F6188A" w:rsidP="00F6188A">
      <w:pPr>
        <w:pStyle w:val="Sansinterligne"/>
        <w:shd w:val="clear" w:color="auto" w:fill="FBE4D5" w:themeFill="accent2" w:themeFillTint="33"/>
        <w:jc w:val="both"/>
        <w:rPr>
          <w:b/>
          <w:bCs/>
          <w:sz w:val="28"/>
          <w:szCs w:val="28"/>
        </w:rPr>
      </w:pPr>
      <w:r w:rsidRPr="00DB5B1E">
        <w:rPr>
          <w:b/>
          <w:bCs/>
          <w:color w:val="FFFFFF" w:themeColor="background1"/>
          <w:sz w:val="28"/>
          <w:szCs w:val="28"/>
          <w:shd w:val="clear" w:color="auto" w:fill="ED7D31" w:themeFill="accent2"/>
        </w:rPr>
        <w:t>QUEL</w:t>
      </w:r>
      <w:r>
        <w:rPr>
          <w:b/>
          <w:bCs/>
          <w:color w:val="FFFFFF" w:themeColor="background1"/>
          <w:sz w:val="28"/>
          <w:szCs w:val="28"/>
          <w:shd w:val="clear" w:color="auto" w:fill="ED7D31" w:themeFill="accent2"/>
        </w:rPr>
        <w:t xml:space="preserve">LES CONDITIONS </w:t>
      </w:r>
      <w:r w:rsidRPr="00DB5B1E">
        <w:rPr>
          <w:b/>
          <w:bCs/>
          <w:color w:val="FFFFFF" w:themeColor="background1"/>
          <w:sz w:val="28"/>
          <w:szCs w:val="28"/>
          <w:shd w:val="clear" w:color="auto" w:fill="ED7D31" w:themeFill="accent2"/>
        </w:rPr>
        <w:t>?</w:t>
      </w:r>
      <w:r w:rsidRPr="00DB5B1E">
        <w:rPr>
          <w:b/>
          <w:bCs/>
          <w:sz w:val="28"/>
          <w:szCs w:val="28"/>
          <w:shd w:val="clear" w:color="auto" w:fill="ED7D31" w:themeFill="accent2"/>
        </w:rPr>
        <w:t xml:space="preserve"> </w:t>
      </w:r>
      <w:r>
        <w:rPr>
          <w:b/>
          <w:bCs/>
          <w:sz w:val="28"/>
          <w:szCs w:val="28"/>
        </w:rPr>
        <w:t xml:space="preserve"> </w:t>
      </w:r>
      <w:r>
        <w:rPr>
          <w:b/>
          <w:bCs/>
          <w:color w:val="002060"/>
          <w:sz w:val="28"/>
          <w:szCs w:val="28"/>
        </w:rPr>
        <w:t>Modalités de dépôt</w:t>
      </w:r>
    </w:p>
    <w:p w14:paraId="029D1E29" w14:textId="77777777" w:rsidR="00F6188A" w:rsidRDefault="00F6188A" w:rsidP="00F6188A">
      <w:pPr>
        <w:pStyle w:val="Sansinterligne"/>
        <w:jc w:val="both"/>
      </w:pPr>
    </w:p>
    <w:p w14:paraId="609AB5D4" w14:textId="77777777" w:rsidR="00F6188A" w:rsidRDefault="00F6188A" w:rsidP="00F6188A">
      <w:pPr>
        <w:pStyle w:val="Sansinterligne"/>
        <w:jc w:val="both"/>
      </w:pPr>
      <w:r>
        <w:t>Guichet (au fil de l’eau) et Appel à projet/à manifestation d’intérêt</w:t>
      </w:r>
    </w:p>
    <w:p w14:paraId="2A3E62EE" w14:textId="77777777" w:rsidR="00F6188A" w:rsidRDefault="00F6188A" w:rsidP="00F6188A">
      <w:pPr>
        <w:pStyle w:val="Sansinterligne"/>
        <w:jc w:val="both"/>
      </w:pPr>
    </w:p>
    <w:p w14:paraId="366617EF" w14:textId="77777777" w:rsidR="00F6188A" w:rsidRPr="002C70D5" w:rsidRDefault="00F6188A" w:rsidP="00F6188A">
      <w:pPr>
        <w:pStyle w:val="Sansinterligne"/>
        <w:shd w:val="clear" w:color="auto" w:fill="FBE4D5" w:themeFill="accent2" w:themeFillTint="33"/>
        <w:jc w:val="both"/>
        <w:rPr>
          <w:b/>
          <w:bCs/>
          <w:sz w:val="28"/>
          <w:szCs w:val="28"/>
        </w:rPr>
      </w:pPr>
      <w:r w:rsidRPr="00DB5B1E">
        <w:rPr>
          <w:b/>
          <w:bCs/>
          <w:color w:val="FFFFFF" w:themeColor="background1"/>
          <w:sz w:val="28"/>
          <w:szCs w:val="28"/>
          <w:shd w:val="clear" w:color="auto" w:fill="ED7D31" w:themeFill="accent2"/>
        </w:rPr>
        <w:t>QUEL</w:t>
      </w:r>
      <w:r>
        <w:rPr>
          <w:b/>
          <w:bCs/>
          <w:color w:val="FFFFFF" w:themeColor="background1"/>
          <w:sz w:val="28"/>
          <w:szCs w:val="28"/>
          <w:shd w:val="clear" w:color="auto" w:fill="ED7D31" w:themeFill="accent2"/>
        </w:rPr>
        <w:t xml:space="preserve">LES CONDITIONS </w:t>
      </w:r>
      <w:r w:rsidRPr="00DB5B1E">
        <w:rPr>
          <w:b/>
          <w:bCs/>
          <w:color w:val="FFFFFF" w:themeColor="background1"/>
          <w:sz w:val="28"/>
          <w:szCs w:val="28"/>
          <w:shd w:val="clear" w:color="auto" w:fill="ED7D31" w:themeFill="accent2"/>
        </w:rPr>
        <w:t>?</w:t>
      </w:r>
      <w:r w:rsidRPr="00DB5B1E">
        <w:rPr>
          <w:b/>
          <w:bCs/>
          <w:sz w:val="28"/>
          <w:szCs w:val="28"/>
          <w:shd w:val="clear" w:color="auto" w:fill="ED7D31" w:themeFill="accent2"/>
        </w:rPr>
        <w:t xml:space="preserve"> </w:t>
      </w:r>
      <w:r>
        <w:rPr>
          <w:b/>
          <w:bCs/>
          <w:sz w:val="28"/>
          <w:szCs w:val="28"/>
        </w:rPr>
        <w:t xml:space="preserve"> </w:t>
      </w:r>
      <w:r>
        <w:rPr>
          <w:b/>
          <w:bCs/>
          <w:color w:val="002060"/>
          <w:sz w:val="28"/>
          <w:szCs w:val="28"/>
        </w:rPr>
        <w:t>Conditions favorisantes</w:t>
      </w:r>
    </w:p>
    <w:p w14:paraId="05B0ECA4" w14:textId="77777777" w:rsidR="00F6188A" w:rsidRDefault="00F6188A" w:rsidP="00F6188A">
      <w:pPr>
        <w:pStyle w:val="Sansinterligne"/>
        <w:jc w:val="both"/>
      </w:pPr>
    </w:p>
    <w:p w14:paraId="6F73079F" w14:textId="77777777" w:rsidR="00F6188A" w:rsidRPr="00061FC0" w:rsidRDefault="00F6188A" w:rsidP="00F6188A">
      <w:pPr>
        <w:pStyle w:val="Sansinterligne"/>
        <w:jc w:val="both"/>
        <w:rPr>
          <w:color w:val="000000" w:themeColor="text1"/>
        </w:rPr>
      </w:pPr>
      <w:r w:rsidRPr="00061FC0">
        <w:rPr>
          <w:color w:val="000000" w:themeColor="text1"/>
        </w:rPr>
        <w:t>Sans objet pour l’OS 2.8</w:t>
      </w:r>
    </w:p>
    <w:p w14:paraId="2AF859DF" w14:textId="77777777" w:rsidR="00F6188A" w:rsidRDefault="00F6188A" w:rsidP="00F6188A">
      <w:pPr>
        <w:pStyle w:val="Sansinterligne"/>
        <w:jc w:val="both"/>
      </w:pPr>
    </w:p>
    <w:p w14:paraId="149C8446" w14:textId="77777777" w:rsidR="00F6188A" w:rsidRPr="002C70D5" w:rsidRDefault="00F6188A" w:rsidP="00F6188A">
      <w:pPr>
        <w:pStyle w:val="Sansinterligne"/>
        <w:shd w:val="clear" w:color="auto" w:fill="FBE4D5" w:themeFill="accent2" w:themeFillTint="33"/>
        <w:jc w:val="both"/>
        <w:rPr>
          <w:b/>
          <w:bCs/>
          <w:sz w:val="28"/>
          <w:szCs w:val="28"/>
        </w:rPr>
      </w:pPr>
      <w:r w:rsidRPr="00DB5B1E">
        <w:rPr>
          <w:b/>
          <w:bCs/>
          <w:color w:val="FFFFFF" w:themeColor="background1"/>
          <w:sz w:val="28"/>
          <w:szCs w:val="28"/>
          <w:shd w:val="clear" w:color="auto" w:fill="ED7D31" w:themeFill="accent2"/>
        </w:rPr>
        <w:t>QUEL</w:t>
      </w:r>
      <w:r>
        <w:rPr>
          <w:b/>
          <w:bCs/>
          <w:color w:val="FFFFFF" w:themeColor="background1"/>
          <w:sz w:val="28"/>
          <w:szCs w:val="28"/>
          <w:shd w:val="clear" w:color="auto" w:fill="ED7D31" w:themeFill="accent2"/>
        </w:rPr>
        <w:t xml:space="preserve">LES CONDITIONS </w:t>
      </w:r>
      <w:r w:rsidRPr="00DB5B1E">
        <w:rPr>
          <w:b/>
          <w:bCs/>
          <w:color w:val="FFFFFF" w:themeColor="background1"/>
          <w:sz w:val="28"/>
          <w:szCs w:val="28"/>
          <w:shd w:val="clear" w:color="auto" w:fill="ED7D31" w:themeFill="accent2"/>
        </w:rPr>
        <w:t>?</w:t>
      </w:r>
      <w:r w:rsidRPr="00DB5B1E">
        <w:rPr>
          <w:b/>
          <w:bCs/>
          <w:sz w:val="28"/>
          <w:szCs w:val="28"/>
          <w:shd w:val="clear" w:color="auto" w:fill="ED7D31" w:themeFill="accent2"/>
        </w:rPr>
        <w:t xml:space="preserve"> </w:t>
      </w:r>
      <w:r>
        <w:rPr>
          <w:b/>
          <w:bCs/>
          <w:sz w:val="28"/>
          <w:szCs w:val="28"/>
        </w:rPr>
        <w:t xml:space="preserve"> </w:t>
      </w:r>
      <w:r>
        <w:rPr>
          <w:b/>
          <w:bCs/>
          <w:color w:val="002060"/>
          <w:sz w:val="28"/>
          <w:szCs w:val="28"/>
        </w:rPr>
        <w:t>Principes horizontaux</w:t>
      </w:r>
    </w:p>
    <w:p w14:paraId="538B371D" w14:textId="77777777" w:rsidR="00F6188A" w:rsidRDefault="00F6188A" w:rsidP="00F6188A">
      <w:pPr>
        <w:pStyle w:val="Sansinterligne"/>
        <w:jc w:val="both"/>
      </w:pPr>
    </w:p>
    <w:p w14:paraId="1ECE2A87" w14:textId="77777777" w:rsidR="00F6188A" w:rsidRPr="009325D3" w:rsidRDefault="00F6188A" w:rsidP="00F6188A">
      <w:pPr>
        <w:pStyle w:val="Sansinterligne"/>
        <w:jc w:val="both"/>
        <w:rPr>
          <w:rFonts w:ascii="Calibri" w:hAnsi="Calibri" w:cs="Calibri"/>
        </w:rPr>
      </w:pPr>
      <w:r w:rsidRPr="009325D3">
        <w:rPr>
          <w:rFonts w:ascii="Calibri" w:eastAsia="Times New Roman" w:hAnsi="Calibri" w:cs="Calibri"/>
          <w:lang w:eastAsia="fr-FR"/>
        </w:rPr>
        <w:t>Les opérations financées doivent être en cohérence avec les principes horizontaux suivants : égalité des chances, non-discrimination, égalité entre les hommes et les femmes, développement durable</w:t>
      </w:r>
      <w:r>
        <w:rPr>
          <w:rFonts w:ascii="Calibri" w:eastAsia="Times New Roman" w:hAnsi="Calibri" w:cs="Calibri"/>
          <w:lang w:eastAsia="fr-FR"/>
        </w:rPr>
        <w:t>, accessibilité aux personnes en situation de handicap et Charte des droits fondamentaux de l’UE</w:t>
      </w:r>
      <w:r w:rsidRPr="009325D3">
        <w:rPr>
          <w:rFonts w:ascii="Calibri" w:eastAsia="Times New Roman" w:hAnsi="Calibri" w:cs="Calibri"/>
          <w:lang w:eastAsia="fr-FR"/>
        </w:rPr>
        <w:t>.</w:t>
      </w:r>
    </w:p>
    <w:p w14:paraId="66425276" w14:textId="77777777" w:rsidR="00F6188A" w:rsidRDefault="00F6188A" w:rsidP="00F6188A">
      <w:pPr>
        <w:pStyle w:val="Sansinterligne"/>
        <w:jc w:val="both"/>
      </w:pPr>
    </w:p>
    <w:p w14:paraId="5A4CD021" w14:textId="77777777" w:rsidR="00F6188A" w:rsidRDefault="00F6188A" w:rsidP="00F6188A">
      <w:pPr>
        <w:pStyle w:val="Sansinterligne"/>
        <w:jc w:val="both"/>
      </w:pPr>
    </w:p>
    <w:p w14:paraId="638A4452" w14:textId="77777777" w:rsidR="00F6188A" w:rsidRDefault="00F6188A" w:rsidP="00F6188A">
      <w:pPr>
        <w:pStyle w:val="Sansinterligne"/>
        <w:jc w:val="both"/>
      </w:pPr>
    </w:p>
    <w:p w14:paraId="27CE7B0E" w14:textId="77777777" w:rsidR="00F6188A" w:rsidRDefault="00F6188A" w:rsidP="00F6188A">
      <w:pPr>
        <w:pStyle w:val="Sansinterligne"/>
        <w:jc w:val="both"/>
      </w:pPr>
    </w:p>
    <w:p w14:paraId="1E2D1622" w14:textId="77777777" w:rsidR="00F6188A" w:rsidRDefault="00F6188A" w:rsidP="00F6188A">
      <w:pPr>
        <w:pStyle w:val="Sansinterligne"/>
        <w:jc w:val="both"/>
      </w:pPr>
    </w:p>
    <w:p w14:paraId="19625568" w14:textId="77777777" w:rsidR="00F6188A" w:rsidRPr="002C70D5" w:rsidRDefault="00F6188A" w:rsidP="00F6188A">
      <w:pPr>
        <w:pStyle w:val="Sansinterligne"/>
        <w:shd w:val="clear" w:color="auto" w:fill="FBE4D5" w:themeFill="accent2" w:themeFillTint="33"/>
        <w:jc w:val="both"/>
        <w:rPr>
          <w:b/>
          <w:bCs/>
          <w:sz w:val="28"/>
          <w:szCs w:val="28"/>
        </w:rPr>
      </w:pPr>
      <w:r w:rsidRPr="00DB5B1E">
        <w:rPr>
          <w:b/>
          <w:bCs/>
          <w:color w:val="FFFFFF" w:themeColor="background1"/>
          <w:sz w:val="28"/>
          <w:szCs w:val="28"/>
          <w:shd w:val="clear" w:color="auto" w:fill="ED7D31" w:themeFill="accent2"/>
        </w:rPr>
        <w:lastRenderedPageBreak/>
        <w:t>QUEL</w:t>
      </w:r>
      <w:r>
        <w:rPr>
          <w:b/>
          <w:bCs/>
          <w:color w:val="FFFFFF" w:themeColor="background1"/>
          <w:sz w:val="28"/>
          <w:szCs w:val="28"/>
          <w:shd w:val="clear" w:color="auto" w:fill="ED7D31" w:themeFill="accent2"/>
        </w:rPr>
        <w:t xml:space="preserve">LES CONDITIONS </w:t>
      </w:r>
      <w:r w:rsidRPr="00DB5B1E">
        <w:rPr>
          <w:b/>
          <w:bCs/>
          <w:color w:val="FFFFFF" w:themeColor="background1"/>
          <w:sz w:val="28"/>
          <w:szCs w:val="28"/>
          <w:shd w:val="clear" w:color="auto" w:fill="ED7D31" w:themeFill="accent2"/>
        </w:rPr>
        <w:t>?</w:t>
      </w:r>
      <w:r w:rsidRPr="00DB5B1E">
        <w:rPr>
          <w:b/>
          <w:bCs/>
          <w:sz w:val="28"/>
          <w:szCs w:val="28"/>
          <w:shd w:val="clear" w:color="auto" w:fill="ED7D31" w:themeFill="accent2"/>
        </w:rPr>
        <w:t xml:space="preserve"> </w:t>
      </w:r>
      <w:r>
        <w:rPr>
          <w:b/>
          <w:bCs/>
          <w:sz w:val="28"/>
          <w:szCs w:val="28"/>
        </w:rPr>
        <w:t xml:space="preserve"> </w:t>
      </w:r>
      <w:r>
        <w:rPr>
          <w:b/>
          <w:bCs/>
          <w:color w:val="002060"/>
          <w:sz w:val="28"/>
          <w:szCs w:val="28"/>
        </w:rPr>
        <w:t>Respect des règles européennes</w:t>
      </w:r>
    </w:p>
    <w:p w14:paraId="6C7336C5" w14:textId="77777777" w:rsidR="00F6188A" w:rsidRDefault="00F6188A" w:rsidP="00F6188A">
      <w:pPr>
        <w:pStyle w:val="Sansinterligne"/>
        <w:jc w:val="both"/>
      </w:pPr>
    </w:p>
    <w:p w14:paraId="1B09020E" w14:textId="77777777" w:rsidR="00F6188A" w:rsidRPr="00C57CAD" w:rsidRDefault="00F6188A" w:rsidP="00F6188A">
      <w:pPr>
        <w:pStyle w:val="Sansinterligne"/>
        <w:jc w:val="both"/>
        <w:rPr>
          <w:b/>
          <w:bCs/>
          <w:color w:val="002060"/>
        </w:rPr>
      </w:pPr>
      <w:r w:rsidRPr="00C57CAD">
        <w:rPr>
          <w:b/>
          <w:bCs/>
          <w:color w:val="002060"/>
        </w:rPr>
        <w:t xml:space="preserve">Régimes d’aides d’état notamment mobilisables :  </w:t>
      </w:r>
    </w:p>
    <w:p w14:paraId="43A08883" w14:textId="77777777" w:rsidR="00F6188A" w:rsidRDefault="00F6188A" w:rsidP="00F6188A">
      <w:pPr>
        <w:pStyle w:val="Sansinterligne"/>
        <w:numPr>
          <w:ilvl w:val="0"/>
          <w:numId w:val="1"/>
        </w:numPr>
        <w:jc w:val="both"/>
      </w:pPr>
      <w: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00A1D0A0" w14:textId="77777777" w:rsidR="00F6188A" w:rsidRDefault="00F6188A" w:rsidP="00F6188A">
      <w:pPr>
        <w:pStyle w:val="Sansinterligne"/>
        <w:numPr>
          <w:ilvl w:val="0"/>
          <w:numId w:val="1"/>
        </w:numPr>
        <w:jc w:val="both"/>
      </w:pPr>
      <w:r>
        <w:t xml:space="preserve">Règlement (UE) n° 1407/2013 de la commission du 18 décembre 2013 relatif à l’application des articles 107 et 108 du traité sur le fonctionnement de l’Union européenne aux aides de minimis ; </w:t>
      </w:r>
    </w:p>
    <w:p w14:paraId="5ACD4518" w14:textId="77777777" w:rsidR="00F6188A" w:rsidRDefault="00F6188A" w:rsidP="00F6188A">
      <w:pPr>
        <w:pStyle w:val="Sansinterligne"/>
        <w:numPr>
          <w:ilvl w:val="0"/>
          <w:numId w:val="1"/>
        </w:numPr>
        <w:jc w:val="both"/>
      </w:pPr>
      <w: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0FE081B0" w14:textId="77777777" w:rsidR="00F6188A" w:rsidRDefault="00F6188A" w:rsidP="00F6188A">
      <w:pPr>
        <w:pStyle w:val="Sansinterligne"/>
        <w:numPr>
          <w:ilvl w:val="0"/>
          <w:numId w:val="1"/>
        </w:numPr>
        <w:jc w:val="both"/>
      </w:pPr>
      <w:r>
        <w:t>Communication de la Commission relative à la notion d</w:t>
      </w:r>
      <w:proofErr w:type="gramStart"/>
      <w:r>
        <w:t>’«</w:t>
      </w:r>
      <w:proofErr w:type="gramEnd"/>
      <w:r>
        <w:t xml:space="preserve"> aide d'État» visée à l'article 107, paragraphe 1, du traité sur le fonctionnement de l'Union européenne, C/2016/2946, OJ C 262, 19.7.2016, p. 1–50 .</w:t>
      </w:r>
    </w:p>
    <w:p w14:paraId="32DC0552" w14:textId="77777777" w:rsidR="00F6188A" w:rsidRDefault="00F6188A" w:rsidP="00F6188A">
      <w:pPr>
        <w:pStyle w:val="Sansinterligne"/>
        <w:jc w:val="both"/>
      </w:pPr>
      <w:r>
        <w:t xml:space="preserve">  </w:t>
      </w:r>
    </w:p>
    <w:p w14:paraId="3DC4E019" w14:textId="77777777" w:rsidR="00F6188A" w:rsidRPr="00C57CAD" w:rsidRDefault="00F6188A" w:rsidP="00F6188A">
      <w:pPr>
        <w:pStyle w:val="Sansinterligne"/>
        <w:jc w:val="both"/>
        <w:rPr>
          <w:b/>
          <w:bCs/>
          <w:color w:val="002060"/>
        </w:rPr>
      </w:pPr>
      <w:r w:rsidRPr="00C57CAD">
        <w:rPr>
          <w:b/>
          <w:bCs/>
          <w:color w:val="002060"/>
        </w:rPr>
        <w:t xml:space="preserve">Eligibilité des dépenses : </w:t>
      </w:r>
    </w:p>
    <w:p w14:paraId="44D5F998" w14:textId="77777777" w:rsidR="00F6188A" w:rsidRDefault="00F6188A" w:rsidP="00F6188A">
      <w:pPr>
        <w:pStyle w:val="Sansinterligne"/>
        <w:numPr>
          <w:ilvl w:val="0"/>
          <w:numId w:val="1"/>
        </w:numPr>
        <w:jc w:val="both"/>
      </w:pPr>
      <w:r>
        <w:t>Règlement (UE, Euratom) n°2018/1046 relatif aux règles financières applicables au budget général de l’Union, dit Omnibus ;</w:t>
      </w:r>
    </w:p>
    <w:p w14:paraId="5FD5263E" w14:textId="77777777" w:rsidR="00F6188A" w:rsidRDefault="00F6188A" w:rsidP="00F6188A">
      <w:pPr>
        <w:pStyle w:val="Sansinterligne"/>
        <w:numPr>
          <w:ilvl w:val="0"/>
          <w:numId w:val="1"/>
        </w:numPr>
        <w:jc w:val="both"/>
      </w:pPr>
      <w:r w:rsidRPr="00170680">
        <w:t>Décret n</w:t>
      </w:r>
      <w:r w:rsidRPr="003B42C2">
        <w:t xml:space="preserve">°2022-608 du 21 avril </w:t>
      </w:r>
      <w:r>
        <w:t xml:space="preserve">2022 fixant les règles nationales d’éligibilité des dépenses dans le cadre des programmes cofinancés par les fonds européens structurels et d’investissement (FEDER, FSE +, FEADER, FEAMP) pour la période 2021-2027 ; </w:t>
      </w:r>
    </w:p>
    <w:p w14:paraId="0F28F331" w14:textId="77777777" w:rsidR="00F6188A" w:rsidRDefault="00F6188A" w:rsidP="00F6188A">
      <w:pPr>
        <w:pStyle w:val="Sansinterligne"/>
        <w:jc w:val="both"/>
      </w:pPr>
      <w:r>
        <w:t xml:space="preserve">  </w:t>
      </w:r>
    </w:p>
    <w:p w14:paraId="31064A09" w14:textId="77777777" w:rsidR="00F6188A" w:rsidRPr="00C57CAD" w:rsidRDefault="00F6188A" w:rsidP="00F6188A">
      <w:pPr>
        <w:pStyle w:val="Sansinterligne"/>
        <w:jc w:val="both"/>
        <w:rPr>
          <w:b/>
          <w:bCs/>
          <w:color w:val="002060"/>
        </w:rPr>
      </w:pPr>
      <w:r w:rsidRPr="00C57CAD">
        <w:rPr>
          <w:b/>
          <w:bCs/>
          <w:color w:val="002060"/>
        </w:rPr>
        <w:t xml:space="preserve">Commande publique : </w:t>
      </w:r>
    </w:p>
    <w:p w14:paraId="59530DB0" w14:textId="77777777" w:rsidR="00F6188A" w:rsidRDefault="00F6188A" w:rsidP="00F6188A">
      <w:pPr>
        <w:pStyle w:val="Sansinterligne"/>
        <w:numPr>
          <w:ilvl w:val="0"/>
          <w:numId w:val="1"/>
        </w:numPr>
        <w:jc w:val="both"/>
      </w:pPr>
      <w:r>
        <w:t xml:space="preserve">Code de la Commande Publique ; </w:t>
      </w:r>
    </w:p>
    <w:p w14:paraId="624111A5" w14:textId="77777777" w:rsidR="00F6188A" w:rsidRDefault="00F6188A" w:rsidP="00F6188A">
      <w:pPr>
        <w:pStyle w:val="Sansinterligne"/>
        <w:numPr>
          <w:ilvl w:val="0"/>
          <w:numId w:val="1"/>
        </w:numPr>
        <w:jc w:val="both"/>
      </w:pPr>
      <w:r>
        <w:t xml:space="preserve">Ordonnance n°2018-1074 du 26 novembre 2018 relative aux marchés publics ;  </w:t>
      </w:r>
    </w:p>
    <w:p w14:paraId="754ED8AE" w14:textId="77777777" w:rsidR="00F6188A" w:rsidRDefault="00F6188A" w:rsidP="00F6188A">
      <w:pPr>
        <w:pStyle w:val="Sansinterligne"/>
        <w:numPr>
          <w:ilvl w:val="0"/>
          <w:numId w:val="1"/>
        </w:numPr>
        <w:jc w:val="both"/>
      </w:pPr>
      <w:r>
        <w:t>Décret n°2018-1075 du 3 décembre 2018 relatif aux marchés publics.</w:t>
      </w:r>
    </w:p>
    <w:p w14:paraId="6CDB8112" w14:textId="77777777" w:rsidR="00F6188A" w:rsidRDefault="00F6188A" w:rsidP="00F6188A">
      <w:pPr>
        <w:pStyle w:val="Sansinterligne"/>
        <w:jc w:val="both"/>
      </w:pPr>
    </w:p>
    <w:p w14:paraId="3BF3851A" w14:textId="77777777" w:rsidR="00F6188A" w:rsidRPr="002C70D5" w:rsidRDefault="00F6188A" w:rsidP="00F6188A">
      <w:pPr>
        <w:pStyle w:val="Sansinterligne"/>
        <w:shd w:val="clear" w:color="auto" w:fill="E2EFD9" w:themeFill="accent6" w:themeFillTint="33"/>
        <w:jc w:val="both"/>
        <w:rPr>
          <w:b/>
          <w:bCs/>
          <w:sz w:val="28"/>
          <w:szCs w:val="28"/>
        </w:rPr>
      </w:pPr>
      <w:r>
        <w:rPr>
          <w:b/>
          <w:bCs/>
          <w:color w:val="FFFFFF" w:themeColor="background1"/>
          <w:sz w:val="28"/>
          <w:szCs w:val="28"/>
          <w:shd w:val="clear" w:color="auto" w:fill="70AD47" w:themeFill="accent6"/>
        </w:rPr>
        <w:t>MODALIT</w:t>
      </w:r>
      <w:r w:rsidRPr="00A97870">
        <w:rPr>
          <w:b/>
          <w:bCs/>
          <w:color w:val="FFFFFF" w:themeColor="background1"/>
          <w:sz w:val="28"/>
          <w:szCs w:val="28"/>
          <w:shd w:val="clear" w:color="auto" w:fill="70AD47" w:themeFill="accent6"/>
        </w:rPr>
        <w:t>É</w:t>
      </w:r>
      <w:r>
        <w:rPr>
          <w:b/>
          <w:bCs/>
          <w:color w:val="FFFFFF" w:themeColor="background1"/>
          <w:sz w:val="28"/>
          <w:szCs w:val="28"/>
          <w:shd w:val="clear" w:color="auto" w:fill="70AD47" w:themeFill="accent6"/>
        </w:rPr>
        <w:t xml:space="preserve">S DE FINANCEMENT </w:t>
      </w:r>
      <w:r w:rsidRPr="007C7EF5">
        <w:rPr>
          <w:b/>
          <w:bCs/>
          <w:color w:val="FFFFFF" w:themeColor="background1"/>
          <w:sz w:val="28"/>
          <w:szCs w:val="28"/>
          <w:shd w:val="clear" w:color="auto" w:fill="70AD47" w:themeFill="accent6"/>
        </w:rPr>
        <w:t>?</w:t>
      </w:r>
      <w:r w:rsidRPr="007C7EF5">
        <w:rPr>
          <w:b/>
          <w:bCs/>
          <w:sz w:val="28"/>
          <w:szCs w:val="28"/>
          <w:shd w:val="clear" w:color="auto" w:fill="70AD47" w:themeFill="accent6"/>
        </w:rPr>
        <w:t xml:space="preserve"> </w:t>
      </w:r>
      <w:r>
        <w:rPr>
          <w:b/>
          <w:bCs/>
          <w:sz w:val="28"/>
          <w:szCs w:val="28"/>
        </w:rPr>
        <w:t xml:space="preserve"> </w:t>
      </w:r>
      <w:r w:rsidRPr="002C70D5">
        <w:rPr>
          <w:b/>
          <w:bCs/>
          <w:color w:val="002060"/>
          <w:sz w:val="28"/>
          <w:szCs w:val="28"/>
        </w:rPr>
        <w:t>Dépenses éligibles</w:t>
      </w:r>
    </w:p>
    <w:p w14:paraId="08461023" w14:textId="77777777" w:rsidR="00F6188A" w:rsidRDefault="00F6188A" w:rsidP="00F6188A">
      <w:pPr>
        <w:pStyle w:val="Sansinterligne"/>
        <w:jc w:val="both"/>
      </w:pPr>
    </w:p>
    <w:p w14:paraId="02E5D274" w14:textId="77777777" w:rsidR="00F6188A" w:rsidRDefault="00F6188A" w:rsidP="00F6188A">
      <w:pPr>
        <w:pStyle w:val="Sansinterligne"/>
        <w:numPr>
          <w:ilvl w:val="0"/>
          <w:numId w:val="43"/>
        </w:numPr>
        <w:jc w:val="both"/>
      </w:pPr>
      <w:r>
        <w:t xml:space="preserve">Dépenses d’investissement, d’équipement, </w:t>
      </w:r>
    </w:p>
    <w:p w14:paraId="45C76769" w14:textId="77777777" w:rsidR="00F6188A" w:rsidRPr="00982056" w:rsidRDefault="00F6188A" w:rsidP="00F6188A">
      <w:pPr>
        <w:pStyle w:val="Sansinterligne"/>
        <w:numPr>
          <w:ilvl w:val="0"/>
          <w:numId w:val="43"/>
        </w:numPr>
        <w:jc w:val="both"/>
      </w:pPr>
      <w:bookmarkStart w:id="2" w:name="_Hlk114069520"/>
      <w:r w:rsidRPr="00982056">
        <w:t>Acquisition</w:t>
      </w:r>
      <w:r>
        <w:t xml:space="preserve"> et </w:t>
      </w:r>
      <w:r w:rsidRPr="00982056">
        <w:t>démolition de bâtiments</w:t>
      </w:r>
      <w:r>
        <w:t>,</w:t>
      </w:r>
    </w:p>
    <w:bookmarkEnd w:id="2"/>
    <w:p w14:paraId="0DD6F4A0" w14:textId="77777777" w:rsidR="00F6188A" w:rsidRDefault="00F6188A" w:rsidP="00F6188A">
      <w:pPr>
        <w:pStyle w:val="Sansinterligne"/>
        <w:numPr>
          <w:ilvl w:val="0"/>
          <w:numId w:val="43"/>
        </w:numPr>
        <w:jc w:val="both"/>
      </w:pPr>
      <w:r>
        <w:t>Dépenses de prestations externes.</w:t>
      </w:r>
    </w:p>
    <w:p w14:paraId="0A736190" w14:textId="77777777" w:rsidR="00F6188A" w:rsidRDefault="00F6188A" w:rsidP="00F6188A">
      <w:pPr>
        <w:pStyle w:val="Sansinterligne"/>
        <w:ind w:left="720"/>
        <w:jc w:val="both"/>
      </w:pPr>
    </w:p>
    <w:p w14:paraId="07729713" w14:textId="77777777" w:rsidR="00F6188A" w:rsidRPr="002C70D5" w:rsidRDefault="00F6188A" w:rsidP="00F6188A">
      <w:pPr>
        <w:pStyle w:val="Sansinterligne"/>
        <w:shd w:val="clear" w:color="auto" w:fill="E2EFD9" w:themeFill="accent6" w:themeFillTint="33"/>
        <w:jc w:val="both"/>
        <w:rPr>
          <w:b/>
          <w:bCs/>
          <w:sz w:val="28"/>
          <w:szCs w:val="28"/>
        </w:rPr>
      </w:pPr>
      <w:r>
        <w:rPr>
          <w:b/>
          <w:bCs/>
          <w:color w:val="FFFFFF" w:themeColor="background1"/>
          <w:sz w:val="28"/>
          <w:szCs w:val="28"/>
          <w:shd w:val="clear" w:color="auto" w:fill="70AD47" w:themeFill="accent6"/>
        </w:rPr>
        <w:t>MODALIT</w:t>
      </w:r>
      <w:r w:rsidRPr="00A97870">
        <w:rPr>
          <w:b/>
          <w:bCs/>
          <w:color w:val="FFFFFF" w:themeColor="background1"/>
          <w:sz w:val="28"/>
          <w:szCs w:val="28"/>
          <w:shd w:val="clear" w:color="auto" w:fill="70AD47" w:themeFill="accent6"/>
        </w:rPr>
        <w:t>É</w:t>
      </w:r>
      <w:r>
        <w:rPr>
          <w:b/>
          <w:bCs/>
          <w:color w:val="FFFFFF" w:themeColor="background1"/>
          <w:sz w:val="28"/>
          <w:szCs w:val="28"/>
          <w:shd w:val="clear" w:color="auto" w:fill="70AD47" w:themeFill="accent6"/>
        </w:rPr>
        <w:t>S DE FINANCEMENT</w:t>
      </w:r>
      <w:r w:rsidRPr="007C7EF5">
        <w:rPr>
          <w:b/>
          <w:bCs/>
          <w:color w:val="FFFFFF" w:themeColor="background1"/>
          <w:sz w:val="28"/>
          <w:szCs w:val="28"/>
          <w:shd w:val="clear" w:color="auto" w:fill="70AD47" w:themeFill="accent6"/>
        </w:rPr>
        <w:t> ?</w:t>
      </w:r>
      <w:r w:rsidRPr="007C7EF5">
        <w:rPr>
          <w:b/>
          <w:bCs/>
          <w:sz w:val="28"/>
          <w:szCs w:val="28"/>
          <w:shd w:val="clear" w:color="auto" w:fill="70AD47" w:themeFill="accent6"/>
        </w:rPr>
        <w:t xml:space="preserve"> </w:t>
      </w:r>
      <w:r>
        <w:rPr>
          <w:b/>
          <w:bCs/>
          <w:sz w:val="28"/>
          <w:szCs w:val="28"/>
        </w:rPr>
        <w:t xml:space="preserve"> </w:t>
      </w:r>
      <w:r>
        <w:rPr>
          <w:b/>
          <w:bCs/>
          <w:color w:val="002060"/>
          <w:sz w:val="28"/>
          <w:szCs w:val="28"/>
        </w:rPr>
        <w:t>Options de coûts simplifiés</w:t>
      </w:r>
    </w:p>
    <w:p w14:paraId="521A6B80" w14:textId="77777777" w:rsidR="00F6188A" w:rsidRDefault="00F6188A" w:rsidP="00F6188A">
      <w:pPr>
        <w:pStyle w:val="Sansinterligne"/>
        <w:jc w:val="both"/>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F6188A" w14:paraId="68A9012F" w14:textId="77777777" w:rsidTr="000B288C">
        <w:tc>
          <w:tcPr>
            <w:tcW w:w="785" w:type="dxa"/>
            <w:gridSpan w:val="2"/>
            <w:tcBorders>
              <w:top w:val="nil"/>
              <w:left w:val="nil"/>
              <w:right w:val="nil"/>
            </w:tcBorders>
          </w:tcPr>
          <w:p w14:paraId="5A9ADECC" w14:textId="77777777" w:rsidR="00F6188A" w:rsidRDefault="00F6188A" w:rsidP="000B288C">
            <w:pPr>
              <w:pStyle w:val="Sansinterligne"/>
              <w:jc w:val="both"/>
            </w:pPr>
          </w:p>
        </w:tc>
        <w:tc>
          <w:tcPr>
            <w:tcW w:w="8287" w:type="dxa"/>
            <w:tcBorders>
              <w:top w:val="nil"/>
              <w:left w:val="nil"/>
            </w:tcBorders>
            <w:vAlign w:val="center"/>
          </w:tcPr>
          <w:p w14:paraId="02621506" w14:textId="77777777" w:rsidR="00F6188A" w:rsidRPr="00903E4B" w:rsidRDefault="00F6188A" w:rsidP="000B288C">
            <w:pPr>
              <w:pStyle w:val="Sansinterligne"/>
              <w:rPr>
                <w:b/>
                <w:bCs/>
                <w:color w:val="002060"/>
              </w:rPr>
            </w:pPr>
          </w:p>
        </w:tc>
        <w:tc>
          <w:tcPr>
            <w:tcW w:w="1423" w:type="dxa"/>
            <w:tcBorders>
              <w:left w:val="nil"/>
            </w:tcBorders>
            <w:vAlign w:val="center"/>
          </w:tcPr>
          <w:p w14:paraId="07CD43A7" w14:textId="77777777" w:rsidR="00F6188A" w:rsidRPr="00903E4B" w:rsidRDefault="00F6188A" w:rsidP="000B288C">
            <w:pPr>
              <w:pStyle w:val="Sansinterligne"/>
              <w:jc w:val="center"/>
              <w:rPr>
                <w:b/>
                <w:bCs/>
                <w:color w:val="002060"/>
              </w:rPr>
            </w:pPr>
            <w:r>
              <w:rPr>
                <w:b/>
                <w:bCs/>
                <w:color w:val="002060"/>
              </w:rPr>
              <w:t>Mobilisable sur l’action</w:t>
            </w:r>
          </w:p>
        </w:tc>
      </w:tr>
      <w:tr w:rsidR="00F6188A" w14:paraId="4686D961" w14:textId="77777777" w:rsidTr="000B288C">
        <w:tc>
          <w:tcPr>
            <w:tcW w:w="9072" w:type="dxa"/>
            <w:gridSpan w:val="3"/>
            <w:vAlign w:val="center"/>
          </w:tcPr>
          <w:p w14:paraId="369F5CA7" w14:textId="77777777" w:rsidR="00F6188A" w:rsidRDefault="00F6188A" w:rsidP="000B288C">
            <w:pPr>
              <w:pStyle w:val="Sansinterligne"/>
            </w:pPr>
            <w:r w:rsidRPr="00903E4B">
              <w:rPr>
                <w:b/>
                <w:bCs/>
                <w:color w:val="002060"/>
              </w:rPr>
              <w:t>Taux forfaitaires :</w:t>
            </w:r>
            <w:r w:rsidRPr="00903E4B">
              <w:rPr>
                <w:color w:val="002060"/>
              </w:rPr>
              <w:t xml:space="preserve"> </w:t>
            </w:r>
            <w:r>
              <w:t>obligatoire lorsque le coût total du projet est inférieur à 200 000 €</w:t>
            </w:r>
          </w:p>
        </w:tc>
        <w:tc>
          <w:tcPr>
            <w:tcW w:w="1423" w:type="dxa"/>
            <w:vAlign w:val="center"/>
          </w:tcPr>
          <w:p w14:paraId="1AB25580" w14:textId="77777777" w:rsidR="00F6188A" w:rsidRPr="00903E4B" w:rsidRDefault="00F6188A" w:rsidP="000B288C">
            <w:pPr>
              <w:pStyle w:val="Sansinterligne"/>
              <w:jc w:val="center"/>
              <w:rPr>
                <w:b/>
                <w:bCs/>
                <w:color w:val="002060"/>
              </w:rPr>
            </w:pPr>
            <w:r>
              <w:rPr>
                <w:b/>
                <w:bCs/>
                <w:noProof/>
                <w:color w:val="002060"/>
              </w:rPr>
              <w:drawing>
                <wp:inline distT="0" distB="0" distL="0" distR="0" wp14:anchorId="292BE16F" wp14:editId="137435CB">
                  <wp:extent cx="262393" cy="262393"/>
                  <wp:effectExtent l="0" t="0" r="4445" b="4445"/>
                  <wp:docPr id="784945333" name="Picture 784945333"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F6188A" w14:paraId="76E79E20" w14:textId="77777777" w:rsidTr="000B288C">
        <w:tc>
          <w:tcPr>
            <w:tcW w:w="284" w:type="dxa"/>
            <w:tcBorders>
              <w:right w:val="nil"/>
            </w:tcBorders>
          </w:tcPr>
          <w:p w14:paraId="3E4E3BD3" w14:textId="77777777" w:rsidR="00F6188A" w:rsidRDefault="00F6188A" w:rsidP="000B288C">
            <w:pPr>
              <w:pStyle w:val="Sansinterligne"/>
              <w:jc w:val="both"/>
            </w:pPr>
          </w:p>
        </w:tc>
        <w:tc>
          <w:tcPr>
            <w:tcW w:w="8788" w:type="dxa"/>
            <w:gridSpan w:val="2"/>
            <w:tcBorders>
              <w:left w:val="nil"/>
            </w:tcBorders>
            <w:vAlign w:val="center"/>
          </w:tcPr>
          <w:p w14:paraId="5A59E278" w14:textId="77777777" w:rsidR="00F6188A" w:rsidRDefault="00F6188A" w:rsidP="000B288C">
            <w:pPr>
              <w:pStyle w:val="Sansinterligne"/>
            </w:pPr>
            <w:r w:rsidRPr="00C57CAD">
              <w:rPr>
                <w:b/>
                <w:bCs/>
              </w:rPr>
              <w:t>Taux de 40% :</w:t>
            </w:r>
            <w:r>
              <w:t xml:space="preserve"> </w:t>
            </w:r>
            <w:r w:rsidRPr="00903E4B">
              <w:t>forfaitise les coûts hors frais directs de personnel dans la limite de 40% des coûts directs de personnel</w:t>
            </w:r>
          </w:p>
        </w:tc>
        <w:tc>
          <w:tcPr>
            <w:tcW w:w="1423" w:type="dxa"/>
            <w:vAlign w:val="center"/>
          </w:tcPr>
          <w:p w14:paraId="4552071C" w14:textId="77777777" w:rsidR="00F6188A" w:rsidRDefault="00F6188A" w:rsidP="000B288C">
            <w:pPr>
              <w:pStyle w:val="Sansinterligne"/>
              <w:jc w:val="center"/>
            </w:pPr>
            <w:r>
              <w:rPr>
                <w:b/>
                <w:bCs/>
                <w:noProof/>
                <w:color w:val="002060"/>
              </w:rPr>
              <w:drawing>
                <wp:inline distT="0" distB="0" distL="0" distR="0" wp14:anchorId="6C4077BF" wp14:editId="003ED3C6">
                  <wp:extent cx="230588" cy="230588"/>
                  <wp:effectExtent l="0" t="0" r="0" b="0"/>
                  <wp:docPr id="784945334" name="Picture 78494533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F6188A" w14:paraId="6EFF2317" w14:textId="77777777" w:rsidTr="000B288C">
        <w:tc>
          <w:tcPr>
            <w:tcW w:w="284" w:type="dxa"/>
            <w:tcBorders>
              <w:right w:val="nil"/>
            </w:tcBorders>
          </w:tcPr>
          <w:p w14:paraId="2EAA337A" w14:textId="77777777" w:rsidR="00F6188A" w:rsidRDefault="00F6188A" w:rsidP="000B288C">
            <w:pPr>
              <w:pStyle w:val="Sansinterligne"/>
              <w:jc w:val="both"/>
            </w:pPr>
          </w:p>
        </w:tc>
        <w:tc>
          <w:tcPr>
            <w:tcW w:w="8788" w:type="dxa"/>
            <w:gridSpan w:val="2"/>
            <w:tcBorders>
              <w:left w:val="nil"/>
            </w:tcBorders>
            <w:vAlign w:val="center"/>
          </w:tcPr>
          <w:p w14:paraId="5285A0EB" w14:textId="77777777" w:rsidR="00F6188A" w:rsidRDefault="00F6188A" w:rsidP="000B288C">
            <w:pPr>
              <w:pStyle w:val="Sansinterligne"/>
            </w:pPr>
            <w:r w:rsidRPr="00C57CAD">
              <w:rPr>
                <w:b/>
                <w:bCs/>
              </w:rPr>
              <w:t>Taux de 15% :</w:t>
            </w:r>
            <w:r>
              <w:t xml:space="preserve"> </w:t>
            </w:r>
            <w:r w:rsidRPr="00903E4B">
              <w:t>forfaitise les coûts indirects dans la limite de 15% des coûts directs de personnel</w:t>
            </w:r>
          </w:p>
        </w:tc>
        <w:tc>
          <w:tcPr>
            <w:tcW w:w="1423" w:type="dxa"/>
            <w:vAlign w:val="center"/>
          </w:tcPr>
          <w:p w14:paraId="6B7B29CA" w14:textId="77777777" w:rsidR="00F6188A" w:rsidRDefault="00F6188A" w:rsidP="000B288C">
            <w:pPr>
              <w:pStyle w:val="Sansinterligne"/>
              <w:jc w:val="center"/>
            </w:pPr>
            <w:r>
              <w:rPr>
                <w:b/>
                <w:bCs/>
                <w:noProof/>
                <w:color w:val="002060"/>
              </w:rPr>
              <w:drawing>
                <wp:inline distT="0" distB="0" distL="0" distR="0" wp14:anchorId="054F104D" wp14:editId="45310462">
                  <wp:extent cx="230588" cy="230588"/>
                  <wp:effectExtent l="0" t="0" r="0" b="0"/>
                  <wp:docPr id="784945792" name="Picture 784945792"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F6188A" w14:paraId="71470680" w14:textId="77777777" w:rsidTr="000B288C">
        <w:tc>
          <w:tcPr>
            <w:tcW w:w="284" w:type="dxa"/>
            <w:tcBorders>
              <w:right w:val="nil"/>
            </w:tcBorders>
          </w:tcPr>
          <w:p w14:paraId="4CF21B2C" w14:textId="77777777" w:rsidR="00F6188A" w:rsidRDefault="00F6188A" w:rsidP="000B288C">
            <w:pPr>
              <w:pStyle w:val="Sansinterligne"/>
              <w:jc w:val="both"/>
            </w:pPr>
          </w:p>
        </w:tc>
        <w:tc>
          <w:tcPr>
            <w:tcW w:w="8788" w:type="dxa"/>
            <w:gridSpan w:val="2"/>
            <w:tcBorders>
              <w:left w:val="nil"/>
            </w:tcBorders>
            <w:vAlign w:val="center"/>
          </w:tcPr>
          <w:p w14:paraId="7F093D86" w14:textId="77777777" w:rsidR="00F6188A" w:rsidRDefault="00F6188A" w:rsidP="000B288C">
            <w:pPr>
              <w:pStyle w:val="Sansinterligne"/>
            </w:pPr>
            <w:r w:rsidRPr="00C57CAD">
              <w:rPr>
                <w:b/>
                <w:bCs/>
              </w:rPr>
              <w:t>Taux de 20% :</w:t>
            </w:r>
            <w:r>
              <w:t xml:space="preserve"> </w:t>
            </w:r>
            <w:r w:rsidRPr="00903E4B">
              <w:t>forfaitise les coûts de personnel directs dans la limite de 20% des coûts directs hors frais de personnel directs</w:t>
            </w:r>
          </w:p>
        </w:tc>
        <w:tc>
          <w:tcPr>
            <w:tcW w:w="1423" w:type="dxa"/>
            <w:vAlign w:val="center"/>
          </w:tcPr>
          <w:p w14:paraId="208A3604" w14:textId="77777777" w:rsidR="00F6188A" w:rsidRDefault="00F6188A" w:rsidP="000B288C">
            <w:pPr>
              <w:pStyle w:val="Sansinterligne"/>
              <w:jc w:val="center"/>
            </w:pPr>
            <w:r>
              <w:rPr>
                <w:b/>
                <w:bCs/>
                <w:noProof/>
                <w:color w:val="002060"/>
              </w:rPr>
              <w:drawing>
                <wp:inline distT="0" distB="0" distL="0" distR="0" wp14:anchorId="04820479" wp14:editId="0AF253A0">
                  <wp:extent cx="230588" cy="230588"/>
                  <wp:effectExtent l="0" t="0" r="0" b="0"/>
                  <wp:docPr id="176" name="Picture 17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F6188A" w14:paraId="2C424893" w14:textId="77777777" w:rsidTr="000B288C">
        <w:tc>
          <w:tcPr>
            <w:tcW w:w="284" w:type="dxa"/>
            <w:tcBorders>
              <w:right w:val="nil"/>
            </w:tcBorders>
          </w:tcPr>
          <w:p w14:paraId="4CD14E8A" w14:textId="77777777" w:rsidR="00F6188A" w:rsidRDefault="00F6188A" w:rsidP="000B288C">
            <w:pPr>
              <w:pStyle w:val="Sansinterligne"/>
              <w:jc w:val="both"/>
            </w:pPr>
          </w:p>
        </w:tc>
        <w:tc>
          <w:tcPr>
            <w:tcW w:w="8788" w:type="dxa"/>
            <w:gridSpan w:val="2"/>
            <w:tcBorders>
              <w:left w:val="nil"/>
            </w:tcBorders>
            <w:vAlign w:val="center"/>
          </w:tcPr>
          <w:p w14:paraId="14BEEFA8" w14:textId="77777777" w:rsidR="00F6188A" w:rsidRDefault="00F6188A" w:rsidP="000B288C">
            <w:pPr>
              <w:pStyle w:val="Sansinterligne"/>
            </w:pPr>
            <w:r w:rsidRPr="00C57CAD">
              <w:rPr>
                <w:b/>
                <w:bCs/>
              </w:rPr>
              <w:t>Taux de 7% :</w:t>
            </w:r>
            <w:r>
              <w:t xml:space="preserve"> </w:t>
            </w:r>
            <w:r w:rsidRPr="00903E4B">
              <w:t>forfaitise les coûts indirects dans la limite de 7% des coûts directs</w:t>
            </w:r>
          </w:p>
        </w:tc>
        <w:tc>
          <w:tcPr>
            <w:tcW w:w="1423" w:type="dxa"/>
            <w:vAlign w:val="center"/>
          </w:tcPr>
          <w:p w14:paraId="7BFCCC9B" w14:textId="77777777" w:rsidR="00F6188A" w:rsidRDefault="00F6188A" w:rsidP="000B288C">
            <w:pPr>
              <w:pStyle w:val="Sansinterligne"/>
              <w:jc w:val="center"/>
            </w:pPr>
            <w:r>
              <w:rPr>
                <w:b/>
                <w:bCs/>
                <w:noProof/>
                <w:color w:val="002060"/>
              </w:rPr>
              <w:drawing>
                <wp:inline distT="0" distB="0" distL="0" distR="0" wp14:anchorId="0D7EE769" wp14:editId="58806928">
                  <wp:extent cx="262393" cy="262393"/>
                  <wp:effectExtent l="0" t="0" r="4445" b="4445"/>
                  <wp:docPr id="784945794" name="Picture 784945794"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F6188A" w14:paraId="7F9B7A37" w14:textId="77777777" w:rsidTr="000B288C">
        <w:tc>
          <w:tcPr>
            <w:tcW w:w="284" w:type="dxa"/>
            <w:tcBorders>
              <w:right w:val="nil"/>
            </w:tcBorders>
          </w:tcPr>
          <w:p w14:paraId="05E70965" w14:textId="77777777" w:rsidR="00F6188A" w:rsidRDefault="00F6188A" w:rsidP="000B288C">
            <w:pPr>
              <w:pStyle w:val="Sansinterligne"/>
              <w:jc w:val="both"/>
            </w:pPr>
          </w:p>
        </w:tc>
        <w:tc>
          <w:tcPr>
            <w:tcW w:w="8788" w:type="dxa"/>
            <w:gridSpan w:val="2"/>
            <w:tcBorders>
              <w:left w:val="nil"/>
            </w:tcBorders>
            <w:vAlign w:val="center"/>
          </w:tcPr>
          <w:p w14:paraId="0B6020F1" w14:textId="77777777" w:rsidR="00F6188A" w:rsidRPr="00903E4B" w:rsidRDefault="00F6188A" w:rsidP="000B288C">
            <w:pPr>
              <w:pStyle w:val="Sansinterligne"/>
            </w:pPr>
            <w:r>
              <w:t>T</w:t>
            </w:r>
            <w:r w:rsidRPr="00903E4B">
              <w:t>aux forfaitaire(s) applicable(s) dans d’autres politiques de l’UE pour des opérations similaires</w:t>
            </w:r>
          </w:p>
        </w:tc>
        <w:tc>
          <w:tcPr>
            <w:tcW w:w="1423" w:type="dxa"/>
            <w:vAlign w:val="center"/>
          </w:tcPr>
          <w:p w14:paraId="01DC6857" w14:textId="77777777" w:rsidR="00F6188A" w:rsidRDefault="00F6188A" w:rsidP="000B288C">
            <w:pPr>
              <w:pStyle w:val="Sansinterligne"/>
              <w:jc w:val="center"/>
            </w:pPr>
            <w:r>
              <w:rPr>
                <w:b/>
                <w:bCs/>
                <w:noProof/>
                <w:color w:val="002060"/>
              </w:rPr>
              <w:drawing>
                <wp:inline distT="0" distB="0" distL="0" distR="0" wp14:anchorId="514EFE58" wp14:editId="5E805580">
                  <wp:extent cx="262393" cy="262393"/>
                  <wp:effectExtent l="0" t="0" r="4445" b="4445"/>
                  <wp:docPr id="784945795" name="Picture 784945795"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F6188A" w14:paraId="25B747E8" w14:textId="77777777" w:rsidTr="000B288C">
        <w:tc>
          <w:tcPr>
            <w:tcW w:w="9072" w:type="dxa"/>
            <w:gridSpan w:val="3"/>
            <w:vAlign w:val="center"/>
          </w:tcPr>
          <w:p w14:paraId="0AAC7B0F" w14:textId="77777777" w:rsidR="00F6188A" w:rsidRPr="00903E4B" w:rsidRDefault="00F6188A" w:rsidP="000B288C">
            <w:pPr>
              <w:pStyle w:val="Sansinterligne"/>
              <w:rPr>
                <w:b/>
                <w:bCs/>
                <w:color w:val="002060"/>
              </w:rPr>
            </w:pPr>
            <w:r w:rsidRPr="00903E4B">
              <w:rPr>
                <w:b/>
                <w:bCs/>
                <w:color w:val="002060"/>
              </w:rPr>
              <w:t>Montants forfaitaires</w:t>
            </w:r>
          </w:p>
        </w:tc>
        <w:tc>
          <w:tcPr>
            <w:tcW w:w="1423" w:type="dxa"/>
            <w:vAlign w:val="center"/>
          </w:tcPr>
          <w:p w14:paraId="15F9A839" w14:textId="77777777" w:rsidR="00F6188A" w:rsidRPr="00903E4B" w:rsidRDefault="00F6188A" w:rsidP="000B288C">
            <w:pPr>
              <w:pStyle w:val="Sansinterligne"/>
              <w:jc w:val="center"/>
              <w:rPr>
                <w:b/>
                <w:bCs/>
                <w:color w:val="002060"/>
              </w:rPr>
            </w:pPr>
            <w:r>
              <w:rPr>
                <w:b/>
                <w:bCs/>
                <w:noProof/>
                <w:color w:val="002060"/>
              </w:rPr>
              <w:drawing>
                <wp:inline distT="0" distB="0" distL="0" distR="0" wp14:anchorId="7C5D000A" wp14:editId="16D77918">
                  <wp:extent cx="230588" cy="230588"/>
                  <wp:effectExtent l="0" t="0" r="0" b="0"/>
                  <wp:docPr id="784945798" name="Picture 78494579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F6188A" w14:paraId="1A2E8730" w14:textId="77777777" w:rsidTr="000B288C">
        <w:tc>
          <w:tcPr>
            <w:tcW w:w="9072" w:type="dxa"/>
            <w:gridSpan w:val="3"/>
            <w:vAlign w:val="center"/>
          </w:tcPr>
          <w:p w14:paraId="034E67C7" w14:textId="77777777" w:rsidR="00F6188A" w:rsidRPr="00903E4B" w:rsidRDefault="00F6188A" w:rsidP="000B288C">
            <w:pPr>
              <w:pStyle w:val="Sansinterligne"/>
              <w:rPr>
                <w:b/>
                <w:bCs/>
                <w:color w:val="002060"/>
              </w:rPr>
            </w:pPr>
            <w:r w:rsidRPr="00903E4B">
              <w:rPr>
                <w:b/>
                <w:bCs/>
                <w:color w:val="002060"/>
              </w:rPr>
              <w:t>Barème standard de coût unitaire</w:t>
            </w:r>
          </w:p>
        </w:tc>
        <w:tc>
          <w:tcPr>
            <w:tcW w:w="1423" w:type="dxa"/>
            <w:vAlign w:val="center"/>
          </w:tcPr>
          <w:p w14:paraId="71EFDE42" w14:textId="77777777" w:rsidR="00F6188A" w:rsidRPr="00903E4B" w:rsidRDefault="00F6188A" w:rsidP="000B288C">
            <w:pPr>
              <w:pStyle w:val="Sansinterligne"/>
              <w:jc w:val="center"/>
              <w:rPr>
                <w:b/>
                <w:bCs/>
                <w:color w:val="002060"/>
              </w:rPr>
            </w:pPr>
            <w:r>
              <w:rPr>
                <w:b/>
                <w:bCs/>
                <w:noProof/>
                <w:color w:val="002060"/>
              </w:rPr>
              <w:drawing>
                <wp:inline distT="0" distB="0" distL="0" distR="0" wp14:anchorId="634D5220" wp14:editId="28548F9C">
                  <wp:extent cx="246490" cy="246490"/>
                  <wp:effectExtent l="0" t="0" r="1270" b="1270"/>
                  <wp:docPr id="784945799" name="Picture 784945799"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4595" cy="254595"/>
                          </a:xfrm>
                          <a:prstGeom prst="rect">
                            <a:avLst/>
                          </a:prstGeom>
                        </pic:spPr>
                      </pic:pic>
                    </a:graphicData>
                  </a:graphic>
                </wp:inline>
              </w:drawing>
            </w:r>
          </w:p>
        </w:tc>
      </w:tr>
    </w:tbl>
    <w:p w14:paraId="0604F490" w14:textId="77777777" w:rsidR="00F6188A" w:rsidRDefault="00F6188A" w:rsidP="00F6188A">
      <w:pPr>
        <w:spacing w:after="160" w:line="259" w:lineRule="auto"/>
        <w:jc w:val="left"/>
        <w:rPr>
          <w:rFonts w:asciiTheme="minorHAnsi" w:hAnsiTheme="minorHAnsi"/>
          <w:sz w:val="16"/>
          <w:szCs w:val="16"/>
        </w:rPr>
      </w:pPr>
    </w:p>
    <w:p w14:paraId="7DE767F4" w14:textId="77777777" w:rsidR="00F6188A" w:rsidRDefault="00F6188A" w:rsidP="00F6188A">
      <w:pPr>
        <w:spacing w:after="160" w:line="259" w:lineRule="auto"/>
        <w:jc w:val="left"/>
        <w:rPr>
          <w:rFonts w:asciiTheme="minorHAnsi" w:hAnsiTheme="minorHAnsi"/>
          <w:sz w:val="16"/>
          <w:szCs w:val="16"/>
        </w:rPr>
      </w:pPr>
    </w:p>
    <w:p w14:paraId="62661DEC" w14:textId="77777777" w:rsidR="00F6188A" w:rsidRPr="00FD3032" w:rsidRDefault="00F6188A" w:rsidP="00F6188A">
      <w:pPr>
        <w:spacing w:after="160" w:line="259" w:lineRule="auto"/>
        <w:jc w:val="left"/>
        <w:rPr>
          <w:rFonts w:asciiTheme="minorHAnsi" w:hAnsiTheme="minorHAnsi"/>
          <w:sz w:val="16"/>
          <w:szCs w:val="16"/>
        </w:rPr>
      </w:pPr>
    </w:p>
    <w:p w14:paraId="0726EDAA" w14:textId="77777777" w:rsidR="00F6188A" w:rsidRPr="002C70D5" w:rsidRDefault="00F6188A" w:rsidP="00F6188A">
      <w:pPr>
        <w:pStyle w:val="Sansinterligne"/>
        <w:shd w:val="clear" w:color="auto" w:fill="E2EFD9" w:themeFill="accent6" w:themeFillTint="33"/>
        <w:jc w:val="both"/>
        <w:rPr>
          <w:b/>
          <w:bCs/>
          <w:sz w:val="28"/>
          <w:szCs w:val="28"/>
        </w:rPr>
      </w:pPr>
      <w:r>
        <w:rPr>
          <w:b/>
          <w:bCs/>
          <w:color w:val="FFFFFF" w:themeColor="background1"/>
          <w:sz w:val="28"/>
          <w:szCs w:val="28"/>
          <w:shd w:val="clear" w:color="auto" w:fill="70AD47" w:themeFill="accent6"/>
        </w:rPr>
        <w:lastRenderedPageBreak/>
        <w:t>MODALIT</w:t>
      </w:r>
      <w:r w:rsidRPr="00A97870">
        <w:rPr>
          <w:b/>
          <w:bCs/>
          <w:color w:val="FFFFFF" w:themeColor="background1"/>
          <w:sz w:val="28"/>
          <w:szCs w:val="28"/>
          <w:shd w:val="clear" w:color="auto" w:fill="70AD47" w:themeFill="accent6"/>
        </w:rPr>
        <w:t>É</w:t>
      </w:r>
      <w:r>
        <w:rPr>
          <w:b/>
          <w:bCs/>
          <w:color w:val="FFFFFF" w:themeColor="background1"/>
          <w:sz w:val="28"/>
          <w:szCs w:val="28"/>
          <w:shd w:val="clear" w:color="auto" w:fill="70AD47" w:themeFill="accent6"/>
        </w:rPr>
        <w:t xml:space="preserve">S DE FINANCEMENT </w:t>
      </w:r>
      <w:r w:rsidRPr="007C7EF5">
        <w:rPr>
          <w:b/>
          <w:bCs/>
          <w:color w:val="FFFFFF" w:themeColor="background1"/>
          <w:sz w:val="28"/>
          <w:szCs w:val="28"/>
          <w:shd w:val="clear" w:color="auto" w:fill="70AD47" w:themeFill="accent6"/>
        </w:rPr>
        <w:t>?</w:t>
      </w:r>
      <w:r w:rsidRPr="007C7EF5">
        <w:rPr>
          <w:b/>
          <w:bCs/>
          <w:sz w:val="28"/>
          <w:szCs w:val="28"/>
          <w:shd w:val="clear" w:color="auto" w:fill="70AD47" w:themeFill="accent6"/>
        </w:rPr>
        <w:t xml:space="preserve"> </w:t>
      </w:r>
      <w:r>
        <w:rPr>
          <w:b/>
          <w:bCs/>
          <w:sz w:val="28"/>
          <w:szCs w:val="28"/>
        </w:rPr>
        <w:t xml:space="preserve"> </w:t>
      </w:r>
      <w:r>
        <w:rPr>
          <w:b/>
          <w:bCs/>
          <w:color w:val="002060"/>
          <w:sz w:val="28"/>
          <w:szCs w:val="28"/>
        </w:rPr>
        <w:t>Taux d’aide applicables et seuils d’intervention FEDER</w:t>
      </w:r>
    </w:p>
    <w:p w14:paraId="7B7852D1" w14:textId="77777777" w:rsidR="00F6188A" w:rsidRDefault="00F6188A" w:rsidP="00F6188A">
      <w:pPr>
        <w:pStyle w:val="Sansinterligne"/>
        <w:jc w:val="both"/>
      </w:pPr>
    </w:p>
    <w:tbl>
      <w:tblPr>
        <w:tblStyle w:val="Grilledutableau"/>
        <w:tblW w:w="10485" w:type="dxa"/>
        <w:tblLook w:val="04A0" w:firstRow="1" w:lastRow="0" w:firstColumn="1" w:lastColumn="0" w:noHBand="0" w:noVBand="1"/>
      </w:tblPr>
      <w:tblGrid>
        <w:gridCol w:w="3697"/>
        <w:gridCol w:w="711"/>
        <w:gridCol w:w="6077"/>
      </w:tblGrid>
      <w:tr w:rsidR="00F6188A" w:rsidRPr="009325D3" w14:paraId="10F041FD" w14:textId="77777777" w:rsidTr="000B288C">
        <w:trPr>
          <w:trHeight w:val="1156"/>
        </w:trPr>
        <w:tc>
          <w:tcPr>
            <w:tcW w:w="3697" w:type="dxa"/>
            <w:vAlign w:val="center"/>
          </w:tcPr>
          <w:p w14:paraId="520E27BE" w14:textId="77777777" w:rsidR="00F6188A" w:rsidRPr="009325D3" w:rsidRDefault="00F6188A" w:rsidP="000B288C">
            <w:pPr>
              <w:pStyle w:val="Sansinterligne"/>
              <w:jc w:val="center"/>
              <w:rPr>
                <w:rFonts w:ascii="Calibri" w:hAnsi="Calibri" w:cs="Calibri"/>
                <w:b/>
                <w:bCs/>
              </w:rPr>
            </w:pPr>
            <w:r w:rsidRPr="009325D3">
              <w:rPr>
                <w:rFonts w:ascii="Calibri" w:hAnsi="Calibri" w:cs="Calibri"/>
                <w:b/>
                <w:bCs/>
              </w:rPr>
              <w:t>Taux maximum d’aide publique</w:t>
            </w:r>
          </w:p>
          <w:p w14:paraId="04177BC5" w14:textId="77777777" w:rsidR="00F6188A" w:rsidRPr="009325D3" w:rsidRDefault="00F6188A" w:rsidP="000B288C">
            <w:pPr>
              <w:pStyle w:val="Sansinterligne"/>
              <w:jc w:val="center"/>
              <w:rPr>
                <w:rFonts w:ascii="Calibri" w:hAnsi="Calibri" w:cs="Calibri"/>
              </w:rPr>
            </w:pPr>
            <w:r w:rsidRPr="009325D3">
              <w:rPr>
                <w:rFonts w:ascii="Calibri" w:hAnsi="Calibri" w:cs="Calibri"/>
                <w:sz w:val="20"/>
                <w:szCs w:val="20"/>
              </w:rPr>
              <w:t>(</w:t>
            </w:r>
            <w:proofErr w:type="gramStart"/>
            <w:r w:rsidRPr="009325D3">
              <w:rPr>
                <w:rFonts w:ascii="Calibri" w:hAnsi="Calibri" w:cs="Calibri"/>
                <w:sz w:val="20"/>
                <w:szCs w:val="20"/>
              </w:rPr>
              <w:t>sous</w:t>
            </w:r>
            <w:proofErr w:type="gramEnd"/>
            <w:r w:rsidRPr="009325D3">
              <w:rPr>
                <w:rFonts w:ascii="Calibri" w:hAnsi="Calibri" w:cs="Calibri"/>
                <w:sz w:val="20"/>
                <w:szCs w:val="20"/>
              </w:rPr>
              <w:t xml:space="preserve"> réserve de la règlementation en matière d’aide d’Etat)</w:t>
            </w:r>
          </w:p>
        </w:tc>
        <w:tc>
          <w:tcPr>
            <w:tcW w:w="711" w:type="dxa"/>
            <w:vAlign w:val="center"/>
          </w:tcPr>
          <w:p w14:paraId="13F3DC95" w14:textId="77777777" w:rsidR="00F6188A" w:rsidRPr="009325D3" w:rsidRDefault="00F6188A" w:rsidP="000B288C">
            <w:pPr>
              <w:pStyle w:val="Sansinterligne"/>
              <w:jc w:val="center"/>
              <w:rPr>
                <w:rFonts w:ascii="Calibri" w:hAnsi="Calibri" w:cs="Calibri"/>
                <w:b/>
                <w:bCs/>
              </w:rPr>
            </w:pPr>
            <w:r w:rsidRPr="009325D3">
              <w:rPr>
                <w:rFonts w:ascii="Calibri" w:hAnsi="Calibri" w:cs="Calibri"/>
                <w:b/>
                <w:bCs/>
                <w:color w:val="00B050"/>
              </w:rPr>
              <w:t>80%</w:t>
            </w:r>
          </w:p>
        </w:tc>
        <w:tc>
          <w:tcPr>
            <w:tcW w:w="6077" w:type="dxa"/>
            <w:vMerge w:val="restart"/>
          </w:tcPr>
          <w:p w14:paraId="0D61F375" w14:textId="77777777" w:rsidR="00F6188A" w:rsidRPr="007C7EF5" w:rsidRDefault="00F6188A" w:rsidP="000B288C">
            <w:pPr>
              <w:pStyle w:val="Sansinterligne"/>
              <w:rPr>
                <w:b/>
                <w:bCs/>
              </w:rPr>
            </w:pPr>
            <w:r w:rsidRPr="007C7EF5">
              <w:rPr>
                <w:b/>
                <w:bCs/>
              </w:rPr>
              <w:t xml:space="preserve">Régimes d’aides applicables : </w:t>
            </w:r>
          </w:p>
          <w:p w14:paraId="01C5933E" w14:textId="77777777" w:rsidR="00F6188A" w:rsidRPr="007C7EF5" w:rsidRDefault="00F6188A" w:rsidP="000B288C">
            <w:pPr>
              <w:pStyle w:val="Sansinterligne"/>
              <w:numPr>
                <w:ilvl w:val="0"/>
                <w:numId w:val="1"/>
              </w:numPr>
              <w:rPr>
                <w:sz w:val="20"/>
                <w:szCs w:val="20"/>
              </w:rPr>
            </w:pPr>
            <w:r w:rsidRPr="007C7EF5">
              <w:rPr>
                <w:sz w:val="20"/>
                <w:szCs w:val="20"/>
              </w:rPr>
              <w:t xml:space="preserve">Toute base juridique pertinente, notamment en recherche, développement et innovation (RDI). </w:t>
            </w:r>
          </w:p>
          <w:p w14:paraId="13AE6CCB" w14:textId="77777777" w:rsidR="00F6188A" w:rsidRPr="007C7EF5" w:rsidRDefault="00F6188A" w:rsidP="000B288C">
            <w:pPr>
              <w:pStyle w:val="Sansinterligne"/>
              <w:numPr>
                <w:ilvl w:val="0"/>
                <w:numId w:val="1"/>
              </w:numPr>
              <w:rPr>
                <w:sz w:val="20"/>
                <w:szCs w:val="20"/>
              </w:rPr>
            </w:pPr>
            <w:r w:rsidRPr="007C7EF5">
              <w:rPr>
                <w:sz w:val="20"/>
                <w:szCs w:val="20"/>
              </w:rPr>
              <w:t xml:space="preserve">Régime Général d’Exemption par Catégorie (RGEC) n°651/2014 du 17 juin 2014. </w:t>
            </w:r>
          </w:p>
          <w:p w14:paraId="2590753A" w14:textId="77777777" w:rsidR="00F6188A" w:rsidRPr="007C7EF5" w:rsidRDefault="00F6188A" w:rsidP="000B288C">
            <w:pPr>
              <w:pStyle w:val="Sansinterligne"/>
              <w:numPr>
                <w:ilvl w:val="0"/>
                <w:numId w:val="1"/>
              </w:numPr>
              <w:rPr>
                <w:sz w:val="20"/>
                <w:szCs w:val="20"/>
              </w:rPr>
            </w:pPr>
            <w:r w:rsidRPr="007C7EF5">
              <w:rPr>
                <w:sz w:val="20"/>
                <w:szCs w:val="20"/>
              </w:rPr>
              <w:t xml:space="preserve">Règlement (UE) n° 360/2012 du 25 avril 2012 relatif aux aides de minimis SIEG (Services d’Intérêt Économique Général). </w:t>
            </w:r>
          </w:p>
          <w:p w14:paraId="31EDF582" w14:textId="77777777" w:rsidR="00F6188A" w:rsidRPr="009325D3" w:rsidRDefault="00F6188A" w:rsidP="000B288C">
            <w:pPr>
              <w:pStyle w:val="Sansinterligne"/>
              <w:numPr>
                <w:ilvl w:val="0"/>
                <w:numId w:val="1"/>
              </w:numPr>
              <w:rPr>
                <w:rFonts w:ascii="Calibri" w:hAnsi="Calibri" w:cs="Calibri"/>
                <w:b/>
                <w:bCs/>
                <w:color w:val="00B050"/>
              </w:rPr>
            </w:pPr>
            <w:r w:rsidRPr="007C7EF5">
              <w:rPr>
                <w:sz w:val="20"/>
                <w:szCs w:val="20"/>
              </w:rPr>
              <w:t xml:space="preserve">Règlement (UE) n°1407/2013 du 18 décembre 2013 relatif aux aides de minimis. </w:t>
            </w:r>
          </w:p>
        </w:tc>
      </w:tr>
      <w:tr w:rsidR="00F6188A" w14:paraId="7ED67DB4" w14:textId="77777777" w:rsidTr="000B288C">
        <w:trPr>
          <w:trHeight w:val="1086"/>
        </w:trPr>
        <w:tc>
          <w:tcPr>
            <w:tcW w:w="3697" w:type="dxa"/>
            <w:vAlign w:val="center"/>
          </w:tcPr>
          <w:p w14:paraId="6C203E81" w14:textId="77777777" w:rsidR="00F6188A" w:rsidRPr="007C7EF5" w:rsidRDefault="00F6188A" w:rsidP="000B288C">
            <w:pPr>
              <w:pStyle w:val="Sansinterligne"/>
              <w:jc w:val="center"/>
              <w:rPr>
                <w:b/>
                <w:bCs/>
              </w:rPr>
            </w:pPr>
            <w:r w:rsidRPr="007C7EF5">
              <w:rPr>
                <w:b/>
                <w:bCs/>
              </w:rPr>
              <w:t>Taux maximum indicatif FEDER du coût total éligible</w:t>
            </w:r>
          </w:p>
          <w:p w14:paraId="2C0AD286" w14:textId="77777777" w:rsidR="00F6188A" w:rsidRDefault="00F6188A" w:rsidP="000B288C">
            <w:pPr>
              <w:pStyle w:val="Sansinterligne"/>
              <w:jc w:val="center"/>
            </w:pPr>
            <w:r w:rsidRPr="007C7EF5">
              <w:rPr>
                <w:sz w:val="20"/>
                <w:szCs w:val="20"/>
              </w:rPr>
              <w:t>(</w:t>
            </w:r>
            <w:proofErr w:type="gramStart"/>
            <w:r w:rsidRPr="007C7EF5">
              <w:rPr>
                <w:sz w:val="20"/>
                <w:szCs w:val="20"/>
              </w:rPr>
              <w:t>sous</w:t>
            </w:r>
            <w:proofErr w:type="gramEnd"/>
            <w:r w:rsidRPr="007C7EF5">
              <w:rPr>
                <w:sz w:val="20"/>
                <w:szCs w:val="20"/>
              </w:rPr>
              <w:t xml:space="preserve"> réserve de la règlementation en matière d’aide d’Etat)</w:t>
            </w:r>
          </w:p>
        </w:tc>
        <w:tc>
          <w:tcPr>
            <w:tcW w:w="711" w:type="dxa"/>
            <w:vAlign w:val="center"/>
          </w:tcPr>
          <w:p w14:paraId="363B3BAB" w14:textId="77777777" w:rsidR="00F6188A" w:rsidRPr="007C7EF5" w:rsidRDefault="00F6188A" w:rsidP="000B288C">
            <w:pPr>
              <w:pStyle w:val="Sansinterligne"/>
              <w:jc w:val="center"/>
              <w:rPr>
                <w:b/>
                <w:bCs/>
              </w:rPr>
            </w:pPr>
            <w:r w:rsidRPr="0051187D">
              <w:rPr>
                <w:b/>
                <w:color w:val="00B050"/>
              </w:rPr>
              <w:t>60%</w:t>
            </w:r>
          </w:p>
        </w:tc>
        <w:tc>
          <w:tcPr>
            <w:tcW w:w="6077" w:type="dxa"/>
            <w:vMerge/>
          </w:tcPr>
          <w:p w14:paraId="196CD28F" w14:textId="77777777" w:rsidR="00F6188A" w:rsidRDefault="00F6188A" w:rsidP="000B288C">
            <w:pPr>
              <w:pStyle w:val="Sansinterligne"/>
              <w:numPr>
                <w:ilvl w:val="0"/>
                <w:numId w:val="1"/>
              </w:numPr>
            </w:pPr>
          </w:p>
        </w:tc>
      </w:tr>
      <w:tr w:rsidR="00F6188A" w14:paraId="7C94F780" w14:textId="77777777" w:rsidTr="000B288C">
        <w:trPr>
          <w:trHeight w:val="780"/>
        </w:trPr>
        <w:tc>
          <w:tcPr>
            <w:tcW w:w="4408" w:type="dxa"/>
            <w:gridSpan w:val="2"/>
            <w:vAlign w:val="center"/>
          </w:tcPr>
          <w:p w14:paraId="05A166B8" w14:textId="77777777" w:rsidR="00F6188A" w:rsidRPr="007C7EF5" w:rsidRDefault="00F6188A" w:rsidP="000B288C">
            <w:pPr>
              <w:pStyle w:val="Sansinterligne"/>
              <w:jc w:val="center"/>
              <w:rPr>
                <w:b/>
                <w:bCs/>
                <w:color w:val="00B050"/>
              </w:rPr>
            </w:pPr>
            <w:r>
              <w:rPr>
                <w:b/>
                <w:bCs/>
              </w:rPr>
              <w:t>Montant de l’aide FEDER (minimum/maximum)</w:t>
            </w:r>
          </w:p>
        </w:tc>
        <w:tc>
          <w:tcPr>
            <w:tcW w:w="6077" w:type="dxa"/>
          </w:tcPr>
          <w:p w14:paraId="1BEE4BEE" w14:textId="77777777" w:rsidR="00F6188A" w:rsidRDefault="00F6188A" w:rsidP="000B288C">
            <w:pPr>
              <w:pStyle w:val="Sansinterligne"/>
              <w:rPr>
                <w:b/>
                <w:bCs/>
              </w:rPr>
            </w:pPr>
          </w:p>
          <w:p w14:paraId="1FE3ADF3" w14:textId="77777777" w:rsidR="00F6188A" w:rsidRPr="00602476" w:rsidRDefault="00F6188A" w:rsidP="000B288C">
            <w:pPr>
              <w:pStyle w:val="Sansinterligne"/>
              <w:rPr>
                <w:b/>
                <w:bCs/>
              </w:rPr>
            </w:pPr>
            <w:r w:rsidRPr="00602476">
              <w:rPr>
                <w:b/>
                <w:bCs/>
              </w:rPr>
              <w:t xml:space="preserve">Minimum : 30 000 </w:t>
            </w:r>
            <w:r w:rsidRPr="00602476">
              <w:rPr>
                <w:rFonts w:cstheme="minorHAnsi"/>
                <w:b/>
                <w:bCs/>
              </w:rPr>
              <w:t>€</w:t>
            </w:r>
            <w:r>
              <w:rPr>
                <w:rFonts w:cstheme="minorHAnsi"/>
                <w:b/>
                <w:bCs/>
              </w:rPr>
              <w:t xml:space="preserve"> par </w:t>
            </w:r>
            <w:r w:rsidRPr="00602476">
              <w:rPr>
                <w:rFonts w:cstheme="minorHAnsi"/>
                <w:b/>
                <w:bCs/>
              </w:rPr>
              <w:t>projet</w:t>
            </w:r>
          </w:p>
        </w:tc>
      </w:tr>
    </w:tbl>
    <w:p w14:paraId="79E7DA7D" w14:textId="77777777" w:rsidR="00F6188A" w:rsidRDefault="00F6188A" w:rsidP="00F6188A">
      <w:pPr>
        <w:pStyle w:val="Sansinterligne"/>
        <w:jc w:val="both"/>
      </w:pPr>
    </w:p>
    <w:p w14:paraId="4EB5EA51" w14:textId="77777777" w:rsidR="00F6188A" w:rsidRPr="002C70D5" w:rsidRDefault="00F6188A" w:rsidP="00F6188A">
      <w:pPr>
        <w:pStyle w:val="Sansinterligne"/>
        <w:shd w:val="clear" w:color="auto" w:fill="E2EFD9" w:themeFill="accent6" w:themeFillTint="33"/>
        <w:jc w:val="both"/>
        <w:rPr>
          <w:b/>
          <w:bCs/>
          <w:sz w:val="28"/>
          <w:szCs w:val="28"/>
        </w:rPr>
      </w:pPr>
      <w:r>
        <w:rPr>
          <w:b/>
          <w:bCs/>
          <w:color w:val="FFFFFF" w:themeColor="background1"/>
          <w:sz w:val="28"/>
          <w:szCs w:val="28"/>
          <w:shd w:val="clear" w:color="auto" w:fill="70AD47" w:themeFill="accent6"/>
        </w:rPr>
        <w:t>MODALIT</w:t>
      </w:r>
      <w:r w:rsidRPr="00A97870">
        <w:rPr>
          <w:b/>
          <w:bCs/>
          <w:color w:val="FFFFFF" w:themeColor="background1"/>
          <w:sz w:val="28"/>
          <w:szCs w:val="28"/>
          <w:shd w:val="clear" w:color="auto" w:fill="70AD47" w:themeFill="accent6"/>
        </w:rPr>
        <w:t>É</w:t>
      </w:r>
      <w:r>
        <w:rPr>
          <w:b/>
          <w:bCs/>
          <w:color w:val="FFFFFF" w:themeColor="background1"/>
          <w:sz w:val="28"/>
          <w:szCs w:val="28"/>
          <w:shd w:val="clear" w:color="auto" w:fill="70AD47" w:themeFill="accent6"/>
        </w:rPr>
        <w:t xml:space="preserve">S DE FINANCEMENT </w:t>
      </w:r>
      <w:r w:rsidRPr="007C7EF5">
        <w:rPr>
          <w:b/>
          <w:bCs/>
          <w:color w:val="FFFFFF" w:themeColor="background1"/>
          <w:sz w:val="28"/>
          <w:szCs w:val="28"/>
          <w:shd w:val="clear" w:color="auto" w:fill="70AD47" w:themeFill="accent6"/>
        </w:rPr>
        <w:t>?</w:t>
      </w:r>
      <w:r w:rsidRPr="007C7EF5">
        <w:rPr>
          <w:b/>
          <w:bCs/>
          <w:sz w:val="28"/>
          <w:szCs w:val="28"/>
          <w:shd w:val="clear" w:color="auto" w:fill="70AD47" w:themeFill="accent6"/>
        </w:rPr>
        <w:t xml:space="preserve"> </w:t>
      </w:r>
      <w:r>
        <w:rPr>
          <w:b/>
          <w:bCs/>
          <w:sz w:val="28"/>
          <w:szCs w:val="28"/>
        </w:rPr>
        <w:t xml:space="preserve"> </w:t>
      </w:r>
      <w:r>
        <w:rPr>
          <w:b/>
          <w:bCs/>
          <w:color w:val="002060"/>
          <w:sz w:val="28"/>
          <w:szCs w:val="28"/>
        </w:rPr>
        <w:t>Autres cofinanceurs mobilisables (liste non exhaustive)</w:t>
      </w:r>
    </w:p>
    <w:p w14:paraId="33EAF779" w14:textId="77777777" w:rsidR="00F6188A" w:rsidRDefault="00F6188A" w:rsidP="00F6188A">
      <w:pPr>
        <w:pStyle w:val="Sansinterligne"/>
        <w:jc w:val="both"/>
      </w:pPr>
    </w:p>
    <w:p w14:paraId="5824B2D3" w14:textId="77777777" w:rsidR="00F6188A" w:rsidRPr="00785619" w:rsidRDefault="00F6188A" w:rsidP="00F6188A">
      <w:pPr>
        <w:pStyle w:val="Sansinterligne"/>
        <w:numPr>
          <w:ilvl w:val="0"/>
          <w:numId w:val="1"/>
        </w:numPr>
        <w:jc w:val="both"/>
      </w:pPr>
      <w:r w:rsidRPr="00785619">
        <w:t>Etat,</w:t>
      </w:r>
    </w:p>
    <w:p w14:paraId="12ED28A3" w14:textId="77777777" w:rsidR="00F6188A" w:rsidRPr="00785619" w:rsidRDefault="00F6188A" w:rsidP="00F6188A">
      <w:pPr>
        <w:pStyle w:val="Sansinterligne"/>
        <w:numPr>
          <w:ilvl w:val="0"/>
          <w:numId w:val="1"/>
        </w:numPr>
        <w:jc w:val="both"/>
      </w:pPr>
      <w:r w:rsidRPr="00785619">
        <w:t>Conseil régional (dont CRST),</w:t>
      </w:r>
    </w:p>
    <w:p w14:paraId="2F3CC2D8" w14:textId="77777777" w:rsidR="00F6188A" w:rsidRPr="00785619" w:rsidRDefault="00F6188A" w:rsidP="00F6188A">
      <w:pPr>
        <w:pStyle w:val="Sansinterligne"/>
        <w:numPr>
          <w:ilvl w:val="0"/>
          <w:numId w:val="1"/>
        </w:numPr>
        <w:jc w:val="both"/>
      </w:pPr>
      <w:r w:rsidRPr="00785619">
        <w:t>Autres collectivités territoriales</w:t>
      </w:r>
    </w:p>
    <w:p w14:paraId="490B92D6" w14:textId="77777777" w:rsidR="00F6188A" w:rsidRDefault="00F6188A" w:rsidP="00F6188A">
      <w:pPr>
        <w:pStyle w:val="Sansinterligne"/>
        <w:jc w:val="both"/>
      </w:pPr>
    </w:p>
    <w:p w14:paraId="5C0D08B0" w14:textId="77777777" w:rsidR="00F6188A" w:rsidRDefault="00F6188A" w:rsidP="00F6188A">
      <w:pPr>
        <w:pStyle w:val="Sansinterligne"/>
        <w:shd w:val="clear" w:color="auto" w:fill="E2CFF1"/>
        <w:jc w:val="both"/>
        <w:rPr>
          <w:b/>
          <w:bCs/>
          <w:color w:val="002060"/>
          <w:sz w:val="28"/>
          <w:szCs w:val="28"/>
        </w:rPr>
      </w:pPr>
      <w:proofErr w:type="gramStart"/>
      <w:r w:rsidRPr="00DB5B1E">
        <w:rPr>
          <w:b/>
          <w:bCs/>
          <w:color w:val="FFFFFF" w:themeColor="background1"/>
          <w:sz w:val="28"/>
          <w:szCs w:val="28"/>
          <w:shd w:val="clear" w:color="auto" w:fill="7030A0"/>
        </w:rPr>
        <w:t>PERFORMANCE </w:t>
      </w:r>
      <w:r>
        <w:rPr>
          <w:b/>
          <w:bCs/>
          <w:sz w:val="28"/>
          <w:szCs w:val="28"/>
        </w:rPr>
        <w:t xml:space="preserve"> </w:t>
      </w:r>
      <w:r>
        <w:rPr>
          <w:b/>
          <w:bCs/>
          <w:color w:val="002060"/>
          <w:sz w:val="28"/>
          <w:szCs w:val="28"/>
        </w:rPr>
        <w:t>Indicateurs</w:t>
      </w:r>
      <w:proofErr w:type="gramEnd"/>
      <w:r>
        <w:rPr>
          <w:b/>
          <w:bCs/>
          <w:color w:val="002060"/>
          <w:sz w:val="28"/>
          <w:szCs w:val="28"/>
        </w:rPr>
        <w:t xml:space="preserve"> de réalisation et de résultat</w:t>
      </w:r>
    </w:p>
    <w:p w14:paraId="7B1325D2" w14:textId="77777777" w:rsidR="00F6188A" w:rsidRDefault="00F6188A" w:rsidP="00F6188A">
      <w:pPr>
        <w:pStyle w:val="Sansinterligne"/>
        <w:jc w:val="both"/>
        <w:rPr>
          <w:b/>
          <w:bCs/>
          <w:color w:val="FFFFFF" w:themeColor="background1"/>
          <w:sz w:val="28"/>
          <w:szCs w:val="28"/>
          <w:shd w:val="clear" w:color="auto" w:fill="7030A0"/>
        </w:rPr>
      </w:pPr>
    </w:p>
    <w:tbl>
      <w:tblPr>
        <w:tblW w:w="10485" w:type="dxa"/>
        <w:tblCellMar>
          <w:left w:w="70" w:type="dxa"/>
          <w:right w:w="70" w:type="dxa"/>
        </w:tblCellMar>
        <w:tblLook w:val="04A0" w:firstRow="1" w:lastRow="0" w:firstColumn="1" w:lastColumn="0" w:noHBand="0" w:noVBand="1"/>
      </w:tblPr>
      <w:tblGrid>
        <w:gridCol w:w="1156"/>
        <w:gridCol w:w="827"/>
        <w:gridCol w:w="4011"/>
        <w:gridCol w:w="1120"/>
        <w:gridCol w:w="1120"/>
        <w:gridCol w:w="2251"/>
      </w:tblGrid>
      <w:tr w:rsidR="00F6188A" w:rsidRPr="00792915" w14:paraId="785B35B9" w14:textId="77777777" w:rsidTr="000B288C">
        <w:trPr>
          <w:trHeight w:val="493"/>
        </w:trPr>
        <w:tc>
          <w:tcPr>
            <w:tcW w:w="115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89ED9FC" w14:textId="77777777" w:rsidR="00F6188A" w:rsidRPr="00792915" w:rsidRDefault="00F6188A" w:rsidP="000B288C">
            <w:pPr>
              <w:spacing w:after="0" w:line="240" w:lineRule="auto"/>
              <w:jc w:val="center"/>
              <w:rPr>
                <w:rFonts w:ascii="Calibri" w:eastAsia="Times New Roman" w:hAnsi="Calibri" w:cs="Calibri"/>
                <w:b/>
                <w:bCs/>
                <w:lang w:eastAsia="fr-FR"/>
              </w:rPr>
            </w:pPr>
            <w:r w:rsidRPr="00792915">
              <w:rPr>
                <w:rFonts w:ascii="Calibri" w:eastAsia="Times New Roman" w:hAnsi="Calibri" w:cs="Calibri"/>
                <w:b/>
                <w:bCs/>
                <w:lang w:eastAsia="fr-FR"/>
              </w:rPr>
              <w:t>Type</w:t>
            </w:r>
          </w:p>
        </w:tc>
        <w:tc>
          <w:tcPr>
            <w:tcW w:w="827" w:type="dxa"/>
            <w:tcBorders>
              <w:top w:val="single" w:sz="4" w:space="0" w:color="auto"/>
              <w:left w:val="nil"/>
              <w:bottom w:val="single" w:sz="4" w:space="0" w:color="auto"/>
              <w:right w:val="single" w:sz="4" w:space="0" w:color="auto"/>
            </w:tcBorders>
            <w:shd w:val="clear" w:color="000000" w:fill="D9D9D9"/>
            <w:vAlign w:val="center"/>
            <w:hideMark/>
          </w:tcPr>
          <w:p w14:paraId="711D5337" w14:textId="77777777" w:rsidR="00F6188A" w:rsidRPr="00792915" w:rsidRDefault="00F6188A" w:rsidP="000B288C">
            <w:pPr>
              <w:spacing w:after="0" w:line="240" w:lineRule="auto"/>
              <w:jc w:val="center"/>
              <w:rPr>
                <w:rFonts w:ascii="Calibri" w:eastAsia="Times New Roman" w:hAnsi="Calibri" w:cs="Calibri"/>
                <w:b/>
                <w:bCs/>
                <w:lang w:eastAsia="fr-FR"/>
              </w:rPr>
            </w:pPr>
            <w:r w:rsidRPr="00792915">
              <w:rPr>
                <w:rFonts w:ascii="Calibri" w:eastAsia="Times New Roman" w:hAnsi="Calibri" w:cs="Calibri"/>
                <w:b/>
                <w:bCs/>
                <w:lang w:eastAsia="fr-FR"/>
              </w:rPr>
              <w:t>Numéro</w:t>
            </w:r>
          </w:p>
        </w:tc>
        <w:tc>
          <w:tcPr>
            <w:tcW w:w="4011" w:type="dxa"/>
            <w:tcBorders>
              <w:top w:val="single" w:sz="4" w:space="0" w:color="auto"/>
              <w:left w:val="nil"/>
              <w:bottom w:val="single" w:sz="4" w:space="0" w:color="auto"/>
              <w:right w:val="single" w:sz="4" w:space="0" w:color="auto"/>
            </w:tcBorders>
            <w:shd w:val="clear" w:color="000000" w:fill="D9D9D9"/>
            <w:vAlign w:val="center"/>
            <w:hideMark/>
          </w:tcPr>
          <w:p w14:paraId="0D0E4771" w14:textId="77777777" w:rsidR="00F6188A" w:rsidRPr="00792915" w:rsidRDefault="00F6188A" w:rsidP="000B288C">
            <w:pPr>
              <w:spacing w:after="0" w:line="240" w:lineRule="auto"/>
              <w:jc w:val="center"/>
              <w:rPr>
                <w:rFonts w:ascii="Calibri" w:eastAsia="Times New Roman" w:hAnsi="Calibri" w:cs="Calibri"/>
                <w:b/>
                <w:bCs/>
                <w:lang w:eastAsia="fr-FR"/>
              </w:rPr>
            </w:pPr>
            <w:r w:rsidRPr="00792915">
              <w:rPr>
                <w:rFonts w:ascii="Calibri" w:eastAsia="Times New Roman" w:hAnsi="Calibri" w:cs="Calibri"/>
                <w:b/>
                <w:bCs/>
                <w:lang w:eastAsia="fr-FR"/>
              </w:rPr>
              <w:t>Intitulé</w:t>
            </w:r>
          </w:p>
        </w:tc>
        <w:tc>
          <w:tcPr>
            <w:tcW w:w="1120" w:type="dxa"/>
            <w:tcBorders>
              <w:top w:val="single" w:sz="4" w:space="0" w:color="auto"/>
              <w:left w:val="nil"/>
              <w:bottom w:val="single" w:sz="4" w:space="0" w:color="auto"/>
              <w:right w:val="single" w:sz="4" w:space="0" w:color="auto"/>
            </w:tcBorders>
            <w:shd w:val="clear" w:color="000000" w:fill="DDEBF7"/>
            <w:vAlign w:val="center"/>
            <w:hideMark/>
          </w:tcPr>
          <w:p w14:paraId="77D7613C" w14:textId="77777777" w:rsidR="00F6188A" w:rsidRPr="00792915" w:rsidRDefault="00F6188A" w:rsidP="000B288C">
            <w:pPr>
              <w:spacing w:after="0" w:line="240" w:lineRule="auto"/>
              <w:jc w:val="center"/>
              <w:rPr>
                <w:rFonts w:ascii="Calibri" w:eastAsia="Times New Roman" w:hAnsi="Calibri" w:cs="Calibri"/>
                <w:b/>
                <w:bCs/>
                <w:lang w:eastAsia="fr-FR"/>
              </w:rPr>
            </w:pPr>
            <w:r w:rsidRPr="00792915">
              <w:rPr>
                <w:rFonts w:ascii="Calibri" w:eastAsia="Times New Roman" w:hAnsi="Calibri" w:cs="Calibri"/>
                <w:b/>
                <w:bCs/>
                <w:lang w:eastAsia="fr-FR"/>
              </w:rPr>
              <w:t>Valeur 2024</w:t>
            </w:r>
          </w:p>
        </w:tc>
        <w:tc>
          <w:tcPr>
            <w:tcW w:w="1120" w:type="dxa"/>
            <w:tcBorders>
              <w:top w:val="single" w:sz="4" w:space="0" w:color="auto"/>
              <w:left w:val="nil"/>
              <w:bottom w:val="single" w:sz="4" w:space="0" w:color="auto"/>
              <w:right w:val="single" w:sz="4" w:space="0" w:color="auto"/>
            </w:tcBorders>
            <w:shd w:val="clear" w:color="000000" w:fill="DDEBF7"/>
            <w:vAlign w:val="center"/>
            <w:hideMark/>
          </w:tcPr>
          <w:p w14:paraId="1CBA3AED" w14:textId="77777777" w:rsidR="00F6188A" w:rsidRPr="00792915" w:rsidRDefault="00F6188A" w:rsidP="000B288C">
            <w:pPr>
              <w:spacing w:after="0" w:line="240" w:lineRule="auto"/>
              <w:jc w:val="center"/>
              <w:rPr>
                <w:rFonts w:ascii="Calibri" w:eastAsia="Times New Roman" w:hAnsi="Calibri" w:cs="Calibri"/>
                <w:b/>
                <w:bCs/>
                <w:lang w:eastAsia="fr-FR"/>
              </w:rPr>
            </w:pPr>
            <w:r w:rsidRPr="00792915">
              <w:rPr>
                <w:rFonts w:ascii="Calibri" w:eastAsia="Times New Roman" w:hAnsi="Calibri" w:cs="Calibri"/>
                <w:b/>
                <w:bCs/>
                <w:lang w:eastAsia="fr-FR"/>
              </w:rPr>
              <w:t>Valeur 2029</w:t>
            </w:r>
          </w:p>
        </w:tc>
        <w:tc>
          <w:tcPr>
            <w:tcW w:w="2251" w:type="dxa"/>
            <w:tcBorders>
              <w:top w:val="single" w:sz="4" w:space="0" w:color="auto"/>
              <w:left w:val="nil"/>
              <w:bottom w:val="single" w:sz="4" w:space="0" w:color="auto"/>
              <w:right w:val="single" w:sz="4" w:space="0" w:color="auto"/>
            </w:tcBorders>
            <w:shd w:val="clear" w:color="000000" w:fill="FFFF00"/>
            <w:vAlign w:val="center"/>
            <w:hideMark/>
          </w:tcPr>
          <w:p w14:paraId="2F7360F4" w14:textId="77777777" w:rsidR="00F6188A" w:rsidRPr="00792915" w:rsidRDefault="00F6188A" w:rsidP="000B288C">
            <w:pPr>
              <w:spacing w:after="0" w:line="240" w:lineRule="auto"/>
              <w:jc w:val="center"/>
              <w:rPr>
                <w:rFonts w:ascii="Calibri" w:eastAsia="Times New Roman" w:hAnsi="Calibri" w:cs="Calibri"/>
                <w:b/>
                <w:bCs/>
                <w:lang w:eastAsia="fr-FR"/>
              </w:rPr>
            </w:pPr>
            <w:r w:rsidRPr="00792915">
              <w:rPr>
                <w:rFonts w:ascii="Calibri" w:eastAsia="Times New Roman" w:hAnsi="Calibri" w:cs="Calibri"/>
                <w:b/>
                <w:bCs/>
                <w:lang w:eastAsia="fr-FR"/>
              </w:rPr>
              <w:t>Pièces justificatives</w:t>
            </w:r>
          </w:p>
        </w:tc>
      </w:tr>
      <w:tr w:rsidR="00F6188A" w:rsidRPr="00D11D16" w14:paraId="665F2571" w14:textId="77777777" w:rsidTr="000B288C">
        <w:trPr>
          <w:trHeight w:val="1152"/>
        </w:trPr>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28E62D" w14:textId="77777777" w:rsidR="00F6188A" w:rsidRPr="00D11D16" w:rsidRDefault="00F6188A" w:rsidP="000B288C">
            <w:pPr>
              <w:spacing w:after="0" w:line="240" w:lineRule="auto"/>
              <w:jc w:val="center"/>
              <w:rPr>
                <w:rFonts w:ascii="Calibri" w:eastAsia="Times New Roman" w:hAnsi="Calibri" w:cs="Calibri"/>
                <w:b/>
                <w:bCs/>
                <w:color w:val="5B9BD5"/>
                <w:sz w:val="22"/>
                <w:lang w:eastAsia="fr-FR"/>
              </w:rPr>
            </w:pPr>
            <w:r w:rsidRPr="00D11D16">
              <w:rPr>
                <w:rFonts w:ascii="Calibri" w:eastAsia="Times New Roman" w:hAnsi="Calibri" w:cs="Calibri"/>
                <w:b/>
                <w:bCs/>
                <w:color w:val="5B9BD5"/>
                <w:sz w:val="22"/>
                <w:lang w:eastAsia="fr-FR"/>
              </w:rPr>
              <w:t>Réalisation</w:t>
            </w:r>
          </w:p>
        </w:tc>
        <w:tc>
          <w:tcPr>
            <w:tcW w:w="827" w:type="dxa"/>
            <w:tcBorders>
              <w:top w:val="single" w:sz="4" w:space="0" w:color="auto"/>
              <w:left w:val="nil"/>
              <w:bottom w:val="single" w:sz="4" w:space="0" w:color="auto"/>
              <w:right w:val="single" w:sz="4" w:space="0" w:color="auto"/>
            </w:tcBorders>
            <w:shd w:val="clear" w:color="000000" w:fill="FFFFFF"/>
            <w:vAlign w:val="center"/>
            <w:hideMark/>
          </w:tcPr>
          <w:p w14:paraId="621342CF" w14:textId="77777777" w:rsidR="00F6188A" w:rsidRPr="00D11D16" w:rsidRDefault="00F6188A" w:rsidP="000B288C">
            <w:pPr>
              <w:spacing w:after="0" w:line="240" w:lineRule="auto"/>
              <w:jc w:val="center"/>
              <w:rPr>
                <w:rFonts w:ascii="Calibri" w:eastAsia="Times New Roman" w:hAnsi="Calibri" w:cs="Calibri"/>
                <w:sz w:val="22"/>
                <w:lang w:eastAsia="fr-FR"/>
              </w:rPr>
            </w:pPr>
            <w:r w:rsidRPr="00D11D16">
              <w:rPr>
                <w:rFonts w:ascii="Calibri" w:eastAsia="Times New Roman" w:hAnsi="Calibri" w:cs="Calibri"/>
                <w:sz w:val="22"/>
                <w:lang w:eastAsia="fr-FR"/>
              </w:rPr>
              <w:t>RCO54</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14:paraId="17F6DFB6" w14:textId="77777777" w:rsidR="00F6188A" w:rsidRPr="00D11D16" w:rsidRDefault="00F6188A" w:rsidP="000B288C">
            <w:pPr>
              <w:spacing w:after="0" w:line="240" w:lineRule="auto"/>
              <w:jc w:val="left"/>
              <w:rPr>
                <w:rFonts w:ascii="Calibri" w:eastAsia="Times New Roman" w:hAnsi="Calibri" w:cs="Calibri"/>
                <w:sz w:val="22"/>
                <w:lang w:eastAsia="fr-FR"/>
              </w:rPr>
            </w:pPr>
            <w:r w:rsidRPr="00D11D16">
              <w:rPr>
                <w:rFonts w:ascii="Calibri" w:eastAsia="Times New Roman" w:hAnsi="Calibri" w:cs="Calibri"/>
                <w:sz w:val="22"/>
                <w:lang w:eastAsia="fr-FR"/>
              </w:rPr>
              <w:t>Connexions intermodales nouvelles ou modernisées</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74F0FACB" w14:textId="77777777" w:rsidR="00F6188A" w:rsidRPr="00D11D16" w:rsidRDefault="00F6188A" w:rsidP="000B288C">
            <w:pPr>
              <w:spacing w:after="0" w:line="240" w:lineRule="auto"/>
              <w:jc w:val="center"/>
              <w:rPr>
                <w:rFonts w:ascii="Calibri" w:eastAsia="Times New Roman" w:hAnsi="Calibri" w:cs="Calibri"/>
                <w:sz w:val="22"/>
                <w:lang w:eastAsia="fr-FR"/>
              </w:rPr>
            </w:pPr>
            <w:r w:rsidRPr="00D11D16">
              <w:rPr>
                <w:rFonts w:ascii="Calibri" w:eastAsia="Times New Roman" w:hAnsi="Calibri" w:cs="Calibri"/>
                <w:sz w:val="22"/>
                <w:lang w:eastAsia="fr-FR"/>
              </w:rPr>
              <w:t>2</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5BD227FE" w14:textId="77777777" w:rsidR="00F6188A" w:rsidRPr="00D11D16" w:rsidRDefault="00F6188A" w:rsidP="000B288C">
            <w:pPr>
              <w:spacing w:after="0" w:line="240" w:lineRule="auto"/>
              <w:jc w:val="center"/>
              <w:rPr>
                <w:rFonts w:ascii="Calibri" w:eastAsia="Times New Roman" w:hAnsi="Calibri" w:cs="Calibri"/>
                <w:sz w:val="22"/>
                <w:lang w:eastAsia="fr-FR"/>
              </w:rPr>
            </w:pPr>
            <w:r w:rsidRPr="00D11D16">
              <w:rPr>
                <w:rFonts w:ascii="Calibri" w:eastAsia="Times New Roman" w:hAnsi="Calibri" w:cs="Calibri"/>
                <w:sz w:val="22"/>
                <w:lang w:eastAsia="fr-FR"/>
              </w:rPr>
              <w:t>5</w:t>
            </w:r>
          </w:p>
        </w:tc>
        <w:tc>
          <w:tcPr>
            <w:tcW w:w="2251" w:type="dxa"/>
            <w:tcBorders>
              <w:top w:val="single" w:sz="4" w:space="0" w:color="auto"/>
              <w:left w:val="nil"/>
              <w:bottom w:val="single" w:sz="4" w:space="0" w:color="auto"/>
              <w:right w:val="single" w:sz="4" w:space="0" w:color="auto"/>
            </w:tcBorders>
            <w:shd w:val="clear" w:color="000000" w:fill="FFFFFF"/>
            <w:vAlign w:val="center"/>
            <w:hideMark/>
          </w:tcPr>
          <w:p w14:paraId="28552AFE" w14:textId="77777777" w:rsidR="00F6188A" w:rsidRPr="00D11D16" w:rsidRDefault="00F6188A" w:rsidP="000B288C">
            <w:pPr>
              <w:spacing w:after="0" w:line="240" w:lineRule="auto"/>
              <w:jc w:val="center"/>
              <w:rPr>
                <w:rFonts w:ascii="Calibri" w:eastAsia="Times New Roman" w:hAnsi="Calibri" w:cs="Calibri"/>
                <w:sz w:val="22"/>
                <w:lang w:eastAsia="fr-FR"/>
              </w:rPr>
            </w:pPr>
            <w:r w:rsidRPr="00D11D16">
              <w:rPr>
                <w:rFonts w:ascii="Calibri" w:eastAsia="Times New Roman" w:hAnsi="Calibri" w:cs="Calibri"/>
                <w:sz w:val="22"/>
                <w:lang w:eastAsia="fr-FR"/>
              </w:rPr>
              <w:t>Etude préalable des travaux, rapport technique établi par le chef de projet ou un expert à l'issue du projet</w:t>
            </w:r>
          </w:p>
        </w:tc>
      </w:tr>
      <w:tr w:rsidR="00F6188A" w:rsidRPr="00D11D16" w14:paraId="396B8080" w14:textId="77777777" w:rsidTr="000B288C">
        <w:trPr>
          <w:trHeight w:val="1152"/>
        </w:trPr>
        <w:tc>
          <w:tcPr>
            <w:tcW w:w="1156" w:type="dxa"/>
            <w:tcBorders>
              <w:top w:val="nil"/>
              <w:left w:val="single" w:sz="4" w:space="0" w:color="auto"/>
              <w:bottom w:val="single" w:sz="4" w:space="0" w:color="auto"/>
              <w:right w:val="single" w:sz="4" w:space="0" w:color="auto"/>
            </w:tcBorders>
            <w:shd w:val="clear" w:color="000000" w:fill="FFFFFF"/>
            <w:vAlign w:val="center"/>
            <w:hideMark/>
          </w:tcPr>
          <w:p w14:paraId="6B2C51B7" w14:textId="77777777" w:rsidR="00F6188A" w:rsidRPr="00D11D16" w:rsidRDefault="00F6188A" w:rsidP="000B288C">
            <w:pPr>
              <w:spacing w:after="0" w:line="240" w:lineRule="auto"/>
              <w:jc w:val="center"/>
              <w:rPr>
                <w:rFonts w:ascii="Calibri" w:eastAsia="Times New Roman" w:hAnsi="Calibri" w:cs="Calibri"/>
                <w:b/>
                <w:bCs/>
                <w:color w:val="5B9BD5"/>
                <w:sz w:val="22"/>
                <w:lang w:eastAsia="fr-FR"/>
              </w:rPr>
            </w:pPr>
            <w:r w:rsidRPr="00D11D16">
              <w:rPr>
                <w:rFonts w:ascii="Calibri" w:eastAsia="Times New Roman" w:hAnsi="Calibri" w:cs="Calibri"/>
                <w:b/>
                <w:bCs/>
                <w:color w:val="5B9BD5"/>
                <w:sz w:val="22"/>
                <w:lang w:eastAsia="fr-FR"/>
              </w:rPr>
              <w:t>Réalisation</w:t>
            </w:r>
          </w:p>
        </w:tc>
        <w:tc>
          <w:tcPr>
            <w:tcW w:w="827" w:type="dxa"/>
            <w:tcBorders>
              <w:top w:val="nil"/>
              <w:left w:val="nil"/>
              <w:bottom w:val="single" w:sz="4" w:space="0" w:color="auto"/>
              <w:right w:val="single" w:sz="4" w:space="0" w:color="auto"/>
            </w:tcBorders>
            <w:shd w:val="clear" w:color="000000" w:fill="FFFFFF"/>
            <w:vAlign w:val="center"/>
            <w:hideMark/>
          </w:tcPr>
          <w:p w14:paraId="1E47C860" w14:textId="77777777" w:rsidR="00F6188A" w:rsidRPr="00D11D16" w:rsidRDefault="00F6188A" w:rsidP="000B288C">
            <w:pPr>
              <w:spacing w:after="0" w:line="240" w:lineRule="auto"/>
              <w:jc w:val="center"/>
              <w:rPr>
                <w:rFonts w:ascii="Calibri" w:eastAsia="Times New Roman" w:hAnsi="Calibri" w:cs="Calibri"/>
                <w:sz w:val="22"/>
                <w:lang w:eastAsia="fr-FR"/>
              </w:rPr>
            </w:pPr>
            <w:r w:rsidRPr="00D11D16">
              <w:rPr>
                <w:rFonts w:ascii="Calibri" w:eastAsia="Times New Roman" w:hAnsi="Calibri" w:cs="Calibri"/>
                <w:sz w:val="22"/>
                <w:lang w:eastAsia="fr-FR"/>
              </w:rPr>
              <w:t>RCO74</w:t>
            </w:r>
          </w:p>
        </w:tc>
        <w:tc>
          <w:tcPr>
            <w:tcW w:w="4011" w:type="dxa"/>
            <w:tcBorders>
              <w:top w:val="nil"/>
              <w:left w:val="nil"/>
              <w:bottom w:val="single" w:sz="4" w:space="0" w:color="auto"/>
              <w:right w:val="single" w:sz="4" w:space="0" w:color="auto"/>
            </w:tcBorders>
            <w:shd w:val="clear" w:color="000000" w:fill="FFFFFF"/>
            <w:vAlign w:val="center"/>
            <w:hideMark/>
          </w:tcPr>
          <w:p w14:paraId="42DEDE1F" w14:textId="77777777" w:rsidR="00F6188A" w:rsidRPr="00D11D16" w:rsidRDefault="00F6188A" w:rsidP="000B288C">
            <w:pPr>
              <w:spacing w:after="0" w:line="240" w:lineRule="auto"/>
              <w:jc w:val="left"/>
              <w:rPr>
                <w:rFonts w:ascii="Calibri" w:eastAsia="Times New Roman" w:hAnsi="Calibri" w:cs="Calibri"/>
                <w:sz w:val="22"/>
                <w:lang w:eastAsia="fr-FR"/>
              </w:rPr>
            </w:pPr>
            <w:r w:rsidRPr="00D11D16">
              <w:rPr>
                <w:rFonts w:ascii="Calibri" w:eastAsia="Times New Roman" w:hAnsi="Calibri" w:cs="Calibri"/>
                <w:sz w:val="22"/>
                <w:lang w:eastAsia="fr-FR"/>
              </w:rPr>
              <w:t>Population couverte par des projets dans le cadre de stratégies de développement territorial intégré</w:t>
            </w:r>
          </w:p>
        </w:tc>
        <w:tc>
          <w:tcPr>
            <w:tcW w:w="1120" w:type="dxa"/>
            <w:tcBorders>
              <w:top w:val="nil"/>
              <w:left w:val="nil"/>
              <w:bottom w:val="single" w:sz="4" w:space="0" w:color="auto"/>
              <w:right w:val="single" w:sz="4" w:space="0" w:color="auto"/>
            </w:tcBorders>
            <w:shd w:val="clear" w:color="000000" w:fill="FFFFFF"/>
            <w:vAlign w:val="center"/>
            <w:hideMark/>
          </w:tcPr>
          <w:p w14:paraId="7AFC1D88" w14:textId="77777777" w:rsidR="00F6188A" w:rsidRPr="00D11D16" w:rsidRDefault="00F6188A" w:rsidP="000B288C">
            <w:pPr>
              <w:spacing w:after="0" w:line="240" w:lineRule="auto"/>
              <w:jc w:val="center"/>
              <w:rPr>
                <w:rFonts w:ascii="Calibri" w:eastAsia="Times New Roman" w:hAnsi="Calibri" w:cs="Calibri"/>
                <w:sz w:val="22"/>
                <w:lang w:eastAsia="fr-FR"/>
              </w:rPr>
            </w:pPr>
            <w:r w:rsidRPr="00D11D16">
              <w:rPr>
                <w:rFonts w:ascii="Calibri" w:eastAsia="Times New Roman" w:hAnsi="Calibri" w:cs="Calibri"/>
                <w:sz w:val="22"/>
                <w:lang w:eastAsia="fr-FR"/>
              </w:rPr>
              <w:t>27000</w:t>
            </w:r>
          </w:p>
        </w:tc>
        <w:tc>
          <w:tcPr>
            <w:tcW w:w="1120" w:type="dxa"/>
            <w:tcBorders>
              <w:top w:val="nil"/>
              <w:left w:val="nil"/>
              <w:bottom w:val="single" w:sz="4" w:space="0" w:color="auto"/>
              <w:right w:val="single" w:sz="4" w:space="0" w:color="auto"/>
            </w:tcBorders>
            <w:shd w:val="clear" w:color="000000" w:fill="FFFFFF"/>
            <w:vAlign w:val="center"/>
            <w:hideMark/>
          </w:tcPr>
          <w:p w14:paraId="3505D52E" w14:textId="77777777" w:rsidR="00F6188A" w:rsidRPr="00D11D16" w:rsidRDefault="00F6188A" w:rsidP="000B288C">
            <w:pPr>
              <w:spacing w:after="0" w:line="240" w:lineRule="auto"/>
              <w:jc w:val="center"/>
              <w:rPr>
                <w:rFonts w:ascii="Calibri" w:eastAsia="Times New Roman" w:hAnsi="Calibri" w:cs="Calibri"/>
                <w:sz w:val="22"/>
                <w:lang w:eastAsia="fr-FR"/>
              </w:rPr>
            </w:pPr>
            <w:r w:rsidRPr="00D11D16">
              <w:rPr>
                <w:rFonts w:ascii="Calibri" w:eastAsia="Times New Roman" w:hAnsi="Calibri" w:cs="Calibri"/>
                <w:sz w:val="22"/>
                <w:lang w:eastAsia="fr-FR"/>
              </w:rPr>
              <w:t>67500</w:t>
            </w:r>
          </w:p>
        </w:tc>
        <w:tc>
          <w:tcPr>
            <w:tcW w:w="2251" w:type="dxa"/>
            <w:tcBorders>
              <w:top w:val="nil"/>
              <w:left w:val="nil"/>
              <w:bottom w:val="single" w:sz="4" w:space="0" w:color="auto"/>
              <w:right w:val="single" w:sz="4" w:space="0" w:color="auto"/>
            </w:tcBorders>
            <w:shd w:val="clear" w:color="000000" w:fill="FFFFFF"/>
            <w:vAlign w:val="center"/>
            <w:hideMark/>
          </w:tcPr>
          <w:p w14:paraId="3BD01968" w14:textId="77777777" w:rsidR="00F6188A" w:rsidRPr="004F52B0" w:rsidRDefault="00F6188A" w:rsidP="000B288C">
            <w:pPr>
              <w:spacing w:after="0" w:line="240" w:lineRule="auto"/>
              <w:jc w:val="center"/>
              <w:rPr>
                <w:rFonts w:ascii="Calibri" w:eastAsia="Times New Roman" w:hAnsi="Calibri" w:cs="Calibri"/>
                <w:szCs w:val="20"/>
                <w:lang w:eastAsia="fr-FR"/>
              </w:rPr>
            </w:pPr>
            <w:r w:rsidRPr="004F52B0">
              <w:rPr>
                <w:rFonts w:ascii="Calibri" w:eastAsia="Times New Roman" w:hAnsi="Calibri" w:cs="Calibri"/>
                <w:szCs w:val="20"/>
                <w:lang w:eastAsia="fr-FR"/>
              </w:rPr>
              <w:t>Estimation de la population couverte et modalités de calcul présentées dans le rapport de mise en œuvre</w:t>
            </w:r>
          </w:p>
        </w:tc>
      </w:tr>
      <w:tr w:rsidR="00F6188A" w:rsidRPr="00D11D16" w14:paraId="74851FB6" w14:textId="77777777" w:rsidTr="000B288C">
        <w:trPr>
          <w:trHeight w:val="864"/>
        </w:trPr>
        <w:tc>
          <w:tcPr>
            <w:tcW w:w="1156" w:type="dxa"/>
            <w:tcBorders>
              <w:top w:val="nil"/>
              <w:left w:val="single" w:sz="4" w:space="0" w:color="auto"/>
              <w:bottom w:val="single" w:sz="4" w:space="0" w:color="auto"/>
              <w:right w:val="single" w:sz="4" w:space="0" w:color="auto"/>
            </w:tcBorders>
            <w:shd w:val="clear" w:color="000000" w:fill="FFFFFF"/>
            <w:vAlign w:val="center"/>
            <w:hideMark/>
          </w:tcPr>
          <w:p w14:paraId="6C2D808B" w14:textId="77777777" w:rsidR="00F6188A" w:rsidRPr="00D11D16" w:rsidRDefault="00F6188A" w:rsidP="000B288C">
            <w:pPr>
              <w:spacing w:after="0" w:line="240" w:lineRule="auto"/>
              <w:jc w:val="center"/>
              <w:rPr>
                <w:rFonts w:ascii="Calibri" w:eastAsia="Times New Roman" w:hAnsi="Calibri" w:cs="Calibri"/>
                <w:b/>
                <w:bCs/>
                <w:color w:val="5B9BD5"/>
                <w:sz w:val="22"/>
                <w:lang w:eastAsia="fr-FR"/>
              </w:rPr>
            </w:pPr>
            <w:r w:rsidRPr="00D11D16">
              <w:rPr>
                <w:rFonts w:ascii="Calibri" w:eastAsia="Times New Roman" w:hAnsi="Calibri" w:cs="Calibri"/>
                <w:b/>
                <w:bCs/>
                <w:color w:val="5B9BD5"/>
                <w:sz w:val="22"/>
                <w:lang w:eastAsia="fr-FR"/>
              </w:rPr>
              <w:t>Réalisation</w:t>
            </w:r>
          </w:p>
        </w:tc>
        <w:tc>
          <w:tcPr>
            <w:tcW w:w="827" w:type="dxa"/>
            <w:tcBorders>
              <w:top w:val="nil"/>
              <w:left w:val="nil"/>
              <w:bottom w:val="single" w:sz="4" w:space="0" w:color="auto"/>
              <w:right w:val="single" w:sz="4" w:space="0" w:color="auto"/>
            </w:tcBorders>
            <w:shd w:val="clear" w:color="000000" w:fill="FFFFFF"/>
            <w:vAlign w:val="center"/>
            <w:hideMark/>
          </w:tcPr>
          <w:p w14:paraId="28A950BB" w14:textId="77777777" w:rsidR="00F6188A" w:rsidRPr="00D11D16" w:rsidRDefault="00F6188A" w:rsidP="000B288C">
            <w:pPr>
              <w:spacing w:after="0" w:line="240" w:lineRule="auto"/>
              <w:jc w:val="center"/>
              <w:rPr>
                <w:rFonts w:ascii="Calibri" w:eastAsia="Times New Roman" w:hAnsi="Calibri" w:cs="Calibri"/>
                <w:sz w:val="22"/>
                <w:lang w:eastAsia="fr-FR"/>
              </w:rPr>
            </w:pPr>
            <w:r w:rsidRPr="00D11D16">
              <w:rPr>
                <w:rFonts w:ascii="Calibri" w:eastAsia="Times New Roman" w:hAnsi="Calibri" w:cs="Calibri"/>
                <w:sz w:val="22"/>
                <w:lang w:eastAsia="fr-FR"/>
              </w:rPr>
              <w:t>RCO75</w:t>
            </w:r>
          </w:p>
        </w:tc>
        <w:tc>
          <w:tcPr>
            <w:tcW w:w="4011" w:type="dxa"/>
            <w:tcBorders>
              <w:top w:val="nil"/>
              <w:left w:val="nil"/>
              <w:bottom w:val="single" w:sz="4" w:space="0" w:color="auto"/>
              <w:right w:val="single" w:sz="4" w:space="0" w:color="auto"/>
            </w:tcBorders>
            <w:shd w:val="clear" w:color="000000" w:fill="FFFFFF"/>
            <w:vAlign w:val="center"/>
            <w:hideMark/>
          </w:tcPr>
          <w:p w14:paraId="028ACFB5" w14:textId="77777777" w:rsidR="00F6188A" w:rsidRPr="00D11D16" w:rsidRDefault="00F6188A" w:rsidP="000B288C">
            <w:pPr>
              <w:spacing w:after="0" w:line="240" w:lineRule="auto"/>
              <w:jc w:val="left"/>
              <w:rPr>
                <w:rFonts w:ascii="Calibri" w:eastAsia="Times New Roman" w:hAnsi="Calibri" w:cs="Calibri"/>
                <w:sz w:val="22"/>
                <w:lang w:eastAsia="fr-FR"/>
              </w:rPr>
            </w:pPr>
            <w:r w:rsidRPr="00D11D16">
              <w:rPr>
                <w:rFonts w:ascii="Calibri" w:eastAsia="Times New Roman" w:hAnsi="Calibri" w:cs="Calibri"/>
                <w:sz w:val="22"/>
                <w:lang w:eastAsia="fr-FR"/>
              </w:rPr>
              <w:t>Stratégies de développement territorial intégré bénéficiant d’un soutien</w:t>
            </w:r>
          </w:p>
        </w:tc>
        <w:tc>
          <w:tcPr>
            <w:tcW w:w="1120" w:type="dxa"/>
            <w:tcBorders>
              <w:top w:val="nil"/>
              <w:left w:val="nil"/>
              <w:bottom w:val="single" w:sz="4" w:space="0" w:color="auto"/>
              <w:right w:val="single" w:sz="4" w:space="0" w:color="auto"/>
            </w:tcBorders>
            <w:shd w:val="clear" w:color="000000" w:fill="FFFFFF"/>
            <w:vAlign w:val="center"/>
            <w:hideMark/>
          </w:tcPr>
          <w:p w14:paraId="224F07F5" w14:textId="77777777" w:rsidR="00F6188A" w:rsidRPr="00D11D16" w:rsidRDefault="00F6188A" w:rsidP="000B288C">
            <w:pPr>
              <w:spacing w:after="0" w:line="240" w:lineRule="auto"/>
              <w:jc w:val="center"/>
              <w:rPr>
                <w:rFonts w:ascii="Calibri" w:eastAsia="Times New Roman" w:hAnsi="Calibri" w:cs="Calibri"/>
                <w:sz w:val="22"/>
                <w:lang w:eastAsia="fr-FR"/>
              </w:rPr>
            </w:pPr>
            <w:r w:rsidRPr="00D11D16">
              <w:rPr>
                <w:rFonts w:ascii="Calibri" w:eastAsia="Times New Roman" w:hAnsi="Calibri" w:cs="Calibri"/>
                <w:sz w:val="22"/>
                <w:lang w:eastAsia="fr-FR"/>
              </w:rPr>
              <w:t>1</w:t>
            </w:r>
          </w:p>
        </w:tc>
        <w:tc>
          <w:tcPr>
            <w:tcW w:w="1120" w:type="dxa"/>
            <w:tcBorders>
              <w:top w:val="nil"/>
              <w:left w:val="nil"/>
              <w:bottom w:val="single" w:sz="4" w:space="0" w:color="auto"/>
              <w:right w:val="single" w:sz="4" w:space="0" w:color="auto"/>
            </w:tcBorders>
            <w:shd w:val="clear" w:color="000000" w:fill="FFFFFF"/>
            <w:vAlign w:val="center"/>
            <w:hideMark/>
          </w:tcPr>
          <w:p w14:paraId="4CF0F422" w14:textId="77777777" w:rsidR="00F6188A" w:rsidRPr="00D11D16" w:rsidRDefault="00F6188A" w:rsidP="000B288C">
            <w:pPr>
              <w:spacing w:after="0" w:line="240" w:lineRule="auto"/>
              <w:jc w:val="center"/>
              <w:rPr>
                <w:rFonts w:ascii="Calibri" w:eastAsia="Times New Roman" w:hAnsi="Calibri" w:cs="Calibri"/>
                <w:sz w:val="22"/>
                <w:lang w:eastAsia="fr-FR"/>
              </w:rPr>
            </w:pPr>
            <w:r w:rsidRPr="00D11D16">
              <w:rPr>
                <w:rFonts w:ascii="Calibri" w:eastAsia="Times New Roman" w:hAnsi="Calibri" w:cs="Calibri"/>
                <w:sz w:val="22"/>
                <w:lang w:eastAsia="fr-FR"/>
              </w:rPr>
              <w:t>1</w:t>
            </w:r>
          </w:p>
        </w:tc>
        <w:tc>
          <w:tcPr>
            <w:tcW w:w="2251" w:type="dxa"/>
            <w:tcBorders>
              <w:top w:val="nil"/>
              <w:left w:val="nil"/>
              <w:bottom w:val="single" w:sz="4" w:space="0" w:color="auto"/>
              <w:right w:val="single" w:sz="4" w:space="0" w:color="auto"/>
            </w:tcBorders>
            <w:shd w:val="clear" w:color="000000" w:fill="FFFFFF"/>
            <w:vAlign w:val="center"/>
            <w:hideMark/>
          </w:tcPr>
          <w:p w14:paraId="52D29AAF" w14:textId="77777777" w:rsidR="00F6188A" w:rsidRPr="00D11D16" w:rsidRDefault="00F6188A" w:rsidP="000B288C">
            <w:pPr>
              <w:spacing w:after="0" w:line="240" w:lineRule="auto"/>
              <w:jc w:val="center"/>
              <w:rPr>
                <w:rFonts w:ascii="Calibri" w:eastAsia="Times New Roman" w:hAnsi="Calibri" w:cs="Calibri"/>
                <w:sz w:val="22"/>
                <w:lang w:eastAsia="fr-FR"/>
              </w:rPr>
            </w:pPr>
            <w:r w:rsidRPr="00D11D16">
              <w:rPr>
                <w:rFonts w:ascii="Calibri" w:eastAsia="Times New Roman" w:hAnsi="Calibri" w:cs="Calibri"/>
                <w:sz w:val="22"/>
                <w:lang w:eastAsia="fr-FR"/>
              </w:rPr>
              <w:t>Contrats territoriaux et convention, délibération ou rapport de mise en œuvre</w:t>
            </w:r>
          </w:p>
        </w:tc>
      </w:tr>
    </w:tbl>
    <w:p w14:paraId="321E77CA" w14:textId="77777777" w:rsidR="00F6188A" w:rsidRDefault="00F6188A" w:rsidP="00F6188A">
      <w:pPr>
        <w:pStyle w:val="Sansinterligne"/>
        <w:jc w:val="both"/>
        <w:rPr>
          <w:b/>
          <w:bCs/>
          <w:color w:val="FFFFFF" w:themeColor="background1"/>
          <w:sz w:val="28"/>
          <w:szCs w:val="28"/>
          <w:shd w:val="clear" w:color="auto" w:fill="7030A0"/>
        </w:rPr>
      </w:pPr>
    </w:p>
    <w:p w14:paraId="55E63ECC" w14:textId="77777777" w:rsidR="00F6188A" w:rsidRPr="002C70D5" w:rsidRDefault="00F6188A" w:rsidP="00F6188A">
      <w:pPr>
        <w:pStyle w:val="Sansinterligne"/>
        <w:shd w:val="clear" w:color="auto" w:fill="E2CFF1"/>
        <w:jc w:val="both"/>
        <w:rPr>
          <w:b/>
          <w:bCs/>
          <w:sz w:val="28"/>
          <w:szCs w:val="28"/>
        </w:rPr>
      </w:pPr>
      <w:proofErr w:type="gramStart"/>
      <w:r w:rsidRPr="00DB5B1E">
        <w:rPr>
          <w:b/>
          <w:bCs/>
          <w:color w:val="FFFFFF" w:themeColor="background1"/>
          <w:sz w:val="28"/>
          <w:szCs w:val="28"/>
          <w:shd w:val="clear" w:color="auto" w:fill="7030A0"/>
        </w:rPr>
        <w:t>PERFORMANCE </w:t>
      </w:r>
      <w:r>
        <w:rPr>
          <w:b/>
          <w:bCs/>
          <w:sz w:val="28"/>
          <w:szCs w:val="28"/>
        </w:rPr>
        <w:t xml:space="preserve"> </w:t>
      </w:r>
      <w:r>
        <w:rPr>
          <w:b/>
          <w:bCs/>
          <w:color w:val="002060"/>
          <w:sz w:val="28"/>
          <w:szCs w:val="28"/>
        </w:rPr>
        <w:t>Cibles</w:t>
      </w:r>
      <w:proofErr w:type="gramEnd"/>
      <w:r>
        <w:rPr>
          <w:b/>
          <w:bCs/>
          <w:color w:val="002060"/>
          <w:sz w:val="28"/>
          <w:szCs w:val="28"/>
        </w:rPr>
        <w:t xml:space="preserve"> financières à atteindre sur l’action</w:t>
      </w:r>
    </w:p>
    <w:p w14:paraId="7D03FDB5" w14:textId="77777777" w:rsidR="00F6188A" w:rsidRDefault="00F6188A" w:rsidP="00F6188A">
      <w:pPr>
        <w:pStyle w:val="Sansinterligne"/>
        <w:jc w:val="both"/>
      </w:pPr>
    </w:p>
    <w:p w14:paraId="1D2914A6" w14:textId="77777777" w:rsidR="00F6188A" w:rsidRDefault="00F6188A" w:rsidP="00F6188A">
      <w:pPr>
        <w:pStyle w:val="Sansinterligne"/>
        <w:jc w:val="both"/>
        <w:rPr>
          <w:b/>
          <w:bCs/>
        </w:rPr>
      </w:pPr>
      <w:r>
        <w:rPr>
          <w:b/>
          <w:bCs/>
        </w:rPr>
        <w:t>3 000</w:t>
      </w:r>
      <w:r w:rsidRPr="003077B1">
        <w:rPr>
          <w:b/>
          <w:bCs/>
        </w:rPr>
        <w:t> 000 €</w:t>
      </w:r>
    </w:p>
    <w:p w14:paraId="4C09DC93" w14:textId="77777777" w:rsidR="00F6188A" w:rsidRDefault="00F6188A" w:rsidP="00F6188A">
      <w:pPr>
        <w:pStyle w:val="Sansinterligne"/>
        <w:jc w:val="both"/>
      </w:pPr>
    </w:p>
    <w:p w14:paraId="315FDD0D" w14:textId="77777777" w:rsidR="00F6188A" w:rsidRPr="002C70D5" w:rsidRDefault="00F6188A" w:rsidP="00F6188A">
      <w:pPr>
        <w:pStyle w:val="Sansinterligne"/>
        <w:shd w:val="clear" w:color="auto" w:fill="E2CFF1"/>
        <w:jc w:val="both"/>
        <w:rPr>
          <w:b/>
          <w:bCs/>
          <w:sz w:val="28"/>
          <w:szCs w:val="28"/>
        </w:rPr>
      </w:pPr>
      <w:proofErr w:type="gramStart"/>
      <w:r w:rsidRPr="00DB5B1E">
        <w:rPr>
          <w:b/>
          <w:bCs/>
          <w:color w:val="FFFFFF" w:themeColor="background1"/>
          <w:sz w:val="28"/>
          <w:szCs w:val="28"/>
          <w:shd w:val="clear" w:color="auto" w:fill="7030A0"/>
        </w:rPr>
        <w:t>PERFORMANCE </w:t>
      </w:r>
      <w:r>
        <w:rPr>
          <w:b/>
          <w:bCs/>
          <w:sz w:val="28"/>
          <w:szCs w:val="28"/>
        </w:rPr>
        <w:t xml:space="preserve"> </w:t>
      </w:r>
      <w:r>
        <w:rPr>
          <w:b/>
          <w:bCs/>
          <w:color w:val="002060"/>
          <w:sz w:val="28"/>
          <w:szCs w:val="28"/>
        </w:rPr>
        <w:t>Instruments</w:t>
      </w:r>
      <w:proofErr w:type="gramEnd"/>
      <w:r>
        <w:rPr>
          <w:b/>
          <w:bCs/>
          <w:color w:val="002060"/>
          <w:sz w:val="28"/>
          <w:szCs w:val="28"/>
        </w:rPr>
        <w:t xml:space="preserve"> financiers applicables</w:t>
      </w:r>
    </w:p>
    <w:p w14:paraId="45B019E8" w14:textId="77777777" w:rsidR="00F6188A" w:rsidRDefault="00F6188A" w:rsidP="00F6188A">
      <w:pPr>
        <w:pStyle w:val="Sansinterligne"/>
        <w:jc w:val="both"/>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F6188A" w14:paraId="0870532D" w14:textId="77777777" w:rsidTr="000B288C">
        <w:tc>
          <w:tcPr>
            <w:tcW w:w="9067" w:type="dxa"/>
            <w:tcBorders>
              <w:bottom w:val="single" w:sz="4" w:space="0" w:color="auto"/>
            </w:tcBorders>
            <w:vAlign w:val="center"/>
          </w:tcPr>
          <w:p w14:paraId="0FDEBF7D" w14:textId="77777777" w:rsidR="00F6188A" w:rsidRDefault="00F6188A" w:rsidP="000B288C">
            <w:pPr>
              <w:pStyle w:val="Sansinterligne"/>
              <w:jc w:val="center"/>
            </w:pPr>
          </w:p>
        </w:tc>
        <w:tc>
          <w:tcPr>
            <w:tcW w:w="1423" w:type="dxa"/>
            <w:tcBorders>
              <w:top w:val="single" w:sz="4" w:space="0" w:color="auto"/>
            </w:tcBorders>
            <w:vAlign w:val="center"/>
          </w:tcPr>
          <w:p w14:paraId="6F64C898" w14:textId="77777777" w:rsidR="00F6188A" w:rsidRPr="003077B1" w:rsidRDefault="00F6188A" w:rsidP="000B288C">
            <w:pPr>
              <w:pStyle w:val="Sansinterligne"/>
              <w:jc w:val="center"/>
              <w:rPr>
                <w:b/>
                <w:bCs/>
              </w:rPr>
            </w:pPr>
            <w:r w:rsidRPr="003077B1">
              <w:rPr>
                <w:b/>
                <w:bCs/>
                <w:color w:val="002060"/>
              </w:rPr>
              <w:t>Mobilisable sur l’action</w:t>
            </w:r>
          </w:p>
        </w:tc>
      </w:tr>
      <w:tr w:rsidR="00F6188A" w14:paraId="3E9A800C" w14:textId="77777777" w:rsidTr="000B288C">
        <w:tc>
          <w:tcPr>
            <w:tcW w:w="9067" w:type="dxa"/>
            <w:tcBorders>
              <w:top w:val="single" w:sz="4" w:space="0" w:color="auto"/>
              <w:left w:val="single" w:sz="4" w:space="0" w:color="auto"/>
            </w:tcBorders>
            <w:vAlign w:val="center"/>
          </w:tcPr>
          <w:p w14:paraId="5833A4D0" w14:textId="77777777" w:rsidR="00F6188A" w:rsidRDefault="00F6188A" w:rsidP="000B288C">
            <w:pPr>
              <w:pStyle w:val="Sansinterligne"/>
            </w:pPr>
            <w:r>
              <w:t>1 – Subvention non remboursable</w:t>
            </w:r>
          </w:p>
        </w:tc>
        <w:tc>
          <w:tcPr>
            <w:tcW w:w="1423" w:type="dxa"/>
            <w:vAlign w:val="center"/>
          </w:tcPr>
          <w:p w14:paraId="504693A2" w14:textId="77777777" w:rsidR="00F6188A" w:rsidRDefault="00F6188A" w:rsidP="000B288C">
            <w:pPr>
              <w:pStyle w:val="Sansinterligne"/>
              <w:jc w:val="center"/>
            </w:pPr>
            <w:r>
              <w:rPr>
                <w:b/>
                <w:bCs/>
                <w:noProof/>
                <w:color w:val="002060"/>
              </w:rPr>
              <w:drawing>
                <wp:inline distT="0" distB="0" distL="0" distR="0" wp14:anchorId="4F16226C" wp14:editId="1F335F67">
                  <wp:extent cx="262393" cy="262393"/>
                  <wp:effectExtent l="0" t="0" r="4445" b="4445"/>
                  <wp:docPr id="784945800" name="Picture 784945800"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F6188A" w14:paraId="1BAF3561" w14:textId="77777777" w:rsidTr="000B288C">
        <w:tc>
          <w:tcPr>
            <w:tcW w:w="9067" w:type="dxa"/>
            <w:tcBorders>
              <w:top w:val="single" w:sz="4" w:space="0" w:color="auto"/>
              <w:left w:val="single" w:sz="4" w:space="0" w:color="auto"/>
            </w:tcBorders>
            <w:vAlign w:val="center"/>
          </w:tcPr>
          <w:p w14:paraId="482F302A" w14:textId="77777777" w:rsidR="00F6188A" w:rsidRDefault="00F6188A" w:rsidP="000B288C">
            <w:pPr>
              <w:pStyle w:val="Sansinterligne"/>
            </w:pPr>
            <w:r>
              <w:t>2 – Subvention remboursable</w:t>
            </w:r>
          </w:p>
        </w:tc>
        <w:tc>
          <w:tcPr>
            <w:tcW w:w="1423" w:type="dxa"/>
            <w:vAlign w:val="center"/>
          </w:tcPr>
          <w:p w14:paraId="555792FF" w14:textId="77777777" w:rsidR="00F6188A" w:rsidRDefault="00F6188A" w:rsidP="000B288C">
            <w:pPr>
              <w:pStyle w:val="Sansinterligne"/>
              <w:jc w:val="center"/>
            </w:pPr>
            <w:r>
              <w:rPr>
                <w:b/>
                <w:bCs/>
                <w:noProof/>
                <w:color w:val="002060"/>
              </w:rPr>
              <w:drawing>
                <wp:inline distT="0" distB="0" distL="0" distR="0" wp14:anchorId="10DFC7EA" wp14:editId="74051925">
                  <wp:extent cx="230588" cy="230588"/>
                  <wp:effectExtent l="0" t="0" r="0" b="0"/>
                  <wp:docPr id="784945801" name="Picture 784945801"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F6188A" w14:paraId="57DA88C6" w14:textId="77777777" w:rsidTr="00F6188A">
        <w:tc>
          <w:tcPr>
            <w:tcW w:w="9067" w:type="dxa"/>
            <w:tcBorders>
              <w:top w:val="single" w:sz="4" w:space="0" w:color="auto"/>
              <w:left w:val="single" w:sz="4" w:space="0" w:color="auto"/>
            </w:tcBorders>
            <w:vAlign w:val="center"/>
          </w:tcPr>
          <w:p w14:paraId="2B9F7D91" w14:textId="77777777" w:rsidR="00F6188A" w:rsidRDefault="00F6188A" w:rsidP="000B288C">
            <w:pPr>
              <w:pStyle w:val="Sansinterligne"/>
            </w:pPr>
            <w:r>
              <w:t xml:space="preserve">3 – </w:t>
            </w:r>
            <w:r w:rsidRPr="003077B1">
              <w:t>Soutien par le biais d’instruments financiers : capital risque et de fonds propres ou équivalent</w:t>
            </w:r>
          </w:p>
        </w:tc>
        <w:tc>
          <w:tcPr>
            <w:tcW w:w="1423" w:type="dxa"/>
            <w:tcBorders>
              <w:bottom w:val="single" w:sz="4" w:space="0" w:color="auto"/>
            </w:tcBorders>
            <w:vAlign w:val="center"/>
          </w:tcPr>
          <w:p w14:paraId="20A0E76A" w14:textId="77777777" w:rsidR="00F6188A" w:rsidRDefault="00F6188A" w:rsidP="000B288C">
            <w:pPr>
              <w:pStyle w:val="Sansinterligne"/>
              <w:jc w:val="center"/>
            </w:pPr>
            <w:r>
              <w:rPr>
                <w:b/>
                <w:bCs/>
                <w:noProof/>
                <w:color w:val="002060"/>
              </w:rPr>
              <w:drawing>
                <wp:inline distT="0" distB="0" distL="0" distR="0" wp14:anchorId="02A2A90A" wp14:editId="353B9D34">
                  <wp:extent cx="230588" cy="230588"/>
                  <wp:effectExtent l="0" t="0" r="0" b="0"/>
                  <wp:docPr id="784945802" name="Picture 784945802"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F6188A" w14:paraId="38EB35AF" w14:textId="77777777" w:rsidTr="00F6188A">
        <w:tc>
          <w:tcPr>
            <w:tcW w:w="9067" w:type="dxa"/>
            <w:tcBorders>
              <w:top w:val="single" w:sz="4" w:space="0" w:color="auto"/>
              <w:left w:val="single" w:sz="4" w:space="0" w:color="auto"/>
            </w:tcBorders>
            <w:vAlign w:val="center"/>
          </w:tcPr>
          <w:p w14:paraId="75BE07C4" w14:textId="77777777" w:rsidR="00F6188A" w:rsidRDefault="00F6188A" w:rsidP="000B288C">
            <w:pPr>
              <w:pStyle w:val="Sansinterligne"/>
            </w:pPr>
            <w:r>
              <w:lastRenderedPageBreak/>
              <w:t xml:space="preserve">4 – </w:t>
            </w:r>
            <w:r w:rsidRPr="003077B1">
              <w:t>Soutien par le biais d’instruments financiers : prêt ou équivalent</w:t>
            </w:r>
          </w:p>
        </w:tc>
        <w:tc>
          <w:tcPr>
            <w:tcW w:w="1423" w:type="dxa"/>
            <w:tcBorders>
              <w:top w:val="single" w:sz="4" w:space="0" w:color="auto"/>
            </w:tcBorders>
            <w:vAlign w:val="center"/>
          </w:tcPr>
          <w:p w14:paraId="163CE35D" w14:textId="77777777" w:rsidR="00F6188A" w:rsidRDefault="00F6188A" w:rsidP="000B288C">
            <w:pPr>
              <w:pStyle w:val="Sansinterligne"/>
              <w:jc w:val="center"/>
            </w:pPr>
            <w:r>
              <w:rPr>
                <w:b/>
                <w:bCs/>
                <w:noProof/>
                <w:color w:val="002060"/>
              </w:rPr>
              <w:drawing>
                <wp:inline distT="0" distB="0" distL="0" distR="0" wp14:anchorId="4B0AB30D" wp14:editId="7483DE6C">
                  <wp:extent cx="230588" cy="230588"/>
                  <wp:effectExtent l="0" t="0" r="0" b="0"/>
                  <wp:docPr id="784945803" name="Picture 78494580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F6188A" w14:paraId="1F9CC120" w14:textId="77777777" w:rsidTr="000B288C">
        <w:tc>
          <w:tcPr>
            <w:tcW w:w="9067" w:type="dxa"/>
            <w:tcBorders>
              <w:top w:val="single" w:sz="4" w:space="0" w:color="auto"/>
              <w:left w:val="single" w:sz="4" w:space="0" w:color="auto"/>
              <w:bottom w:val="single" w:sz="4" w:space="0" w:color="auto"/>
            </w:tcBorders>
            <w:vAlign w:val="center"/>
          </w:tcPr>
          <w:p w14:paraId="32775EAE" w14:textId="77777777" w:rsidR="00F6188A" w:rsidRDefault="00F6188A" w:rsidP="000B288C">
            <w:pPr>
              <w:pStyle w:val="Sansinterligne"/>
            </w:pPr>
            <w:r>
              <w:t xml:space="preserve">5 – </w:t>
            </w:r>
            <w:r w:rsidRPr="003077B1">
              <w:t>Soutien par le biais d’instruments financiers : garantie ou équivalent</w:t>
            </w:r>
          </w:p>
        </w:tc>
        <w:tc>
          <w:tcPr>
            <w:tcW w:w="1423" w:type="dxa"/>
            <w:tcBorders>
              <w:bottom w:val="single" w:sz="4" w:space="0" w:color="auto"/>
            </w:tcBorders>
            <w:vAlign w:val="center"/>
          </w:tcPr>
          <w:p w14:paraId="28780677" w14:textId="77777777" w:rsidR="00F6188A" w:rsidRDefault="00F6188A" w:rsidP="000B288C">
            <w:pPr>
              <w:pStyle w:val="Sansinterligne"/>
              <w:jc w:val="center"/>
            </w:pPr>
            <w:r>
              <w:rPr>
                <w:b/>
                <w:bCs/>
                <w:noProof/>
                <w:color w:val="002060"/>
              </w:rPr>
              <w:drawing>
                <wp:inline distT="0" distB="0" distL="0" distR="0" wp14:anchorId="01F8DA3C" wp14:editId="42D8F328">
                  <wp:extent cx="230588" cy="230588"/>
                  <wp:effectExtent l="0" t="0" r="0" b="0"/>
                  <wp:docPr id="784945804" name="Picture 78494580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F6188A" w14:paraId="4098C152" w14:textId="77777777" w:rsidTr="000B288C">
        <w:tc>
          <w:tcPr>
            <w:tcW w:w="9067" w:type="dxa"/>
            <w:tcBorders>
              <w:top w:val="single" w:sz="4" w:space="0" w:color="auto"/>
              <w:left w:val="single" w:sz="4" w:space="0" w:color="auto"/>
              <w:bottom w:val="single" w:sz="4" w:space="0" w:color="auto"/>
            </w:tcBorders>
            <w:vAlign w:val="center"/>
          </w:tcPr>
          <w:p w14:paraId="5BA99D73" w14:textId="77777777" w:rsidR="00F6188A" w:rsidRDefault="00F6188A" w:rsidP="000B288C">
            <w:pPr>
              <w:pStyle w:val="Sansinterligne"/>
            </w:pPr>
            <w:r>
              <w:t xml:space="preserve">6 – </w:t>
            </w:r>
            <w:r w:rsidRPr="003077B1">
              <w:t>Soutien par le biais d’instruments financiers : bonifications d’intérêt, contributions aux primes de garantie, soutien technique ou équivalent</w:t>
            </w:r>
          </w:p>
        </w:tc>
        <w:tc>
          <w:tcPr>
            <w:tcW w:w="1423" w:type="dxa"/>
            <w:tcBorders>
              <w:top w:val="single" w:sz="4" w:space="0" w:color="auto"/>
              <w:bottom w:val="single" w:sz="4" w:space="0" w:color="auto"/>
            </w:tcBorders>
            <w:vAlign w:val="center"/>
          </w:tcPr>
          <w:p w14:paraId="150A20CB" w14:textId="77777777" w:rsidR="00F6188A" w:rsidRDefault="00F6188A" w:rsidP="000B288C">
            <w:pPr>
              <w:pStyle w:val="Sansinterligne"/>
              <w:jc w:val="center"/>
            </w:pPr>
            <w:r>
              <w:rPr>
                <w:b/>
                <w:bCs/>
                <w:noProof/>
                <w:color w:val="002060"/>
              </w:rPr>
              <w:drawing>
                <wp:inline distT="0" distB="0" distL="0" distR="0" wp14:anchorId="17F52AB1" wp14:editId="337374A9">
                  <wp:extent cx="230588" cy="230588"/>
                  <wp:effectExtent l="0" t="0" r="0" b="0"/>
                  <wp:docPr id="784945805" name="Picture 78494580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bl>
    <w:p w14:paraId="3F3D3BC2" w14:textId="77777777" w:rsidR="00F6188A" w:rsidRDefault="00F6188A" w:rsidP="00F6188A">
      <w:pPr>
        <w:pStyle w:val="Sansinterligne"/>
        <w:jc w:val="both"/>
      </w:pPr>
    </w:p>
    <w:p w14:paraId="2B2A5A91" w14:textId="77777777" w:rsidR="00F6188A" w:rsidRPr="002C70D5" w:rsidRDefault="00F6188A" w:rsidP="00F6188A">
      <w:pPr>
        <w:pStyle w:val="Sansinterligne"/>
        <w:shd w:val="clear" w:color="auto" w:fill="D9D9D9" w:themeFill="background1" w:themeFillShade="D9"/>
        <w:jc w:val="both"/>
        <w:rPr>
          <w:b/>
          <w:bCs/>
          <w:sz w:val="28"/>
          <w:szCs w:val="28"/>
        </w:rPr>
      </w:pPr>
      <w:r w:rsidRPr="00FD0AB3">
        <w:rPr>
          <w:b/>
          <w:bCs/>
          <w:color w:val="FFFFFF" w:themeColor="background1"/>
          <w:sz w:val="28"/>
          <w:szCs w:val="28"/>
          <w:shd w:val="clear" w:color="auto" w:fill="A5A5A5" w:themeFill="accent3"/>
        </w:rPr>
        <w:t xml:space="preserve">ADMINISTRATION </w:t>
      </w:r>
      <w:r>
        <w:rPr>
          <w:b/>
          <w:bCs/>
          <w:sz w:val="28"/>
          <w:szCs w:val="28"/>
        </w:rPr>
        <w:t xml:space="preserve">  </w:t>
      </w:r>
      <w:r>
        <w:rPr>
          <w:b/>
          <w:bCs/>
          <w:color w:val="002060"/>
          <w:sz w:val="28"/>
          <w:szCs w:val="28"/>
        </w:rPr>
        <w:t>Partie réservée à l’administration</w:t>
      </w:r>
    </w:p>
    <w:p w14:paraId="12E14565" w14:textId="77777777" w:rsidR="00F6188A" w:rsidRDefault="00F6188A" w:rsidP="00F6188A">
      <w:pPr>
        <w:pStyle w:val="Sansinterligne"/>
        <w:jc w:val="both"/>
      </w:pPr>
    </w:p>
    <w:p w14:paraId="672FE990" w14:textId="77777777" w:rsidR="00F6188A" w:rsidRDefault="00F6188A" w:rsidP="00F6188A">
      <w:pPr>
        <w:pStyle w:val="Sansinterligne"/>
        <w:jc w:val="both"/>
      </w:pPr>
      <w:r w:rsidRPr="003077B1">
        <w:rPr>
          <w:b/>
          <w:bCs/>
          <w:color w:val="002060"/>
        </w:rPr>
        <w:t>Service instructeur :</w:t>
      </w:r>
      <w:r>
        <w:t xml:space="preserve"> service PO FEDER-FSE – Direction Europe et International – Conseil régional Centre-Val de Loire</w:t>
      </w:r>
    </w:p>
    <w:p w14:paraId="34202A28" w14:textId="77777777" w:rsidR="00F6188A" w:rsidRDefault="00F6188A" w:rsidP="00F6188A">
      <w:pPr>
        <w:pStyle w:val="Sansinterligne"/>
        <w:jc w:val="both"/>
        <w:rPr>
          <w:b/>
          <w:bCs/>
          <w:color w:val="002060"/>
        </w:rPr>
      </w:pPr>
    </w:p>
    <w:p w14:paraId="50FE0923" w14:textId="77777777" w:rsidR="00F6188A" w:rsidRPr="003077B1" w:rsidRDefault="00F6188A" w:rsidP="00F6188A">
      <w:pPr>
        <w:pStyle w:val="Sansinterligne"/>
        <w:jc w:val="both"/>
        <w:rPr>
          <w:b/>
          <w:bCs/>
        </w:rPr>
      </w:pPr>
      <w:r w:rsidRPr="003077B1">
        <w:rPr>
          <w:b/>
          <w:bCs/>
          <w:color w:val="002060"/>
        </w:rPr>
        <w:t>Services et organismes consultés pour avis :</w:t>
      </w:r>
      <w:r w:rsidRPr="003077B1">
        <w:rPr>
          <w:b/>
          <w:bCs/>
        </w:rPr>
        <w:t xml:space="preserve"> </w:t>
      </w:r>
    </w:p>
    <w:p w14:paraId="3CB15DEE" w14:textId="77777777" w:rsidR="00F6188A" w:rsidRDefault="00F6188A" w:rsidP="00F6188A">
      <w:pPr>
        <w:pStyle w:val="Sansinterligne"/>
        <w:numPr>
          <w:ilvl w:val="0"/>
          <w:numId w:val="1"/>
        </w:numPr>
        <w:jc w:val="both"/>
      </w:pPr>
      <w:r>
        <w:t>Direction de l’Aménagement du Territoire – Conseil régional Centre-Val de Loire</w:t>
      </w:r>
    </w:p>
    <w:p w14:paraId="7B6D419C" w14:textId="77777777" w:rsidR="00F6188A" w:rsidRDefault="00F6188A" w:rsidP="00F6188A">
      <w:pPr>
        <w:pStyle w:val="Sansinterligne"/>
        <w:numPr>
          <w:ilvl w:val="0"/>
          <w:numId w:val="1"/>
        </w:numPr>
        <w:jc w:val="both"/>
      </w:pPr>
      <w:r>
        <w:t>Direction des transports et de la mobilité durable – Conseil régional Centre-Val de Loire</w:t>
      </w:r>
    </w:p>
    <w:p w14:paraId="297AE8D2" w14:textId="77777777" w:rsidR="00F6188A" w:rsidRDefault="00F6188A" w:rsidP="00F6188A">
      <w:pPr>
        <w:pStyle w:val="Sansinterligne"/>
        <w:jc w:val="both"/>
      </w:pPr>
    </w:p>
    <w:p w14:paraId="6B429089" w14:textId="77777777" w:rsidR="00F6188A" w:rsidRDefault="00F6188A" w:rsidP="00F6188A">
      <w:pPr>
        <w:pStyle w:val="Sansinterligne"/>
        <w:jc w:val="both"/>
      </w:pPr>
      <w:r w:rsidRPr="00674BBC">
        <w:rPr>
          <w:b/>
          <w:bCs/>
          <w:color w:val="002060"/>
        </w:rPr>
        <w:t>Organismes à consulter pour information :</w:t>
      </w:r>
      <w:r w:rsidRPr="00674BBC">
        <w:rPr>
          <w:color w:val="002060"/>
        </w:rPr>
        <w:t xml:space="preserve"> </w:t>
      </w:r>
      <w:r>
        <w:t>sans objet</w:t>
      </w:r>
    </w:p>
    <w:p w14:paraId="73AFC636" w14:textId="77777777" w:rsidR="00F6188A" w:rsidRDefault="00F6188A" w:rsidP="00F6188A">
      <w:pPr>
        <w:pStyle w:val="Sansinterligne"/>
        <w:jc w:val="both"/>
      </w:pPr>
    </w:p>
    <w:p w14:paraId="3953FBEE" w14:textId="77777777" w:rsidR="00F6188A" w:rsidRPr="002C70D5" w:rsidRDefault="00F6188A" w:rsidP="00F6188A">
      <w:pPr>
        <w:pStyle w:val="Sansinterligne"/>
        <w:shd w:val="clear" w:color="auto" w:fill="D9D9D9" w:themeFill="background1" w:themeFillShade="D9"/>
        <w:jc w:val="both"/>
        <w:rPr>
          <w:b/>
          <w:bCs/>
          <w:sz w:val="28"/>
          <w:szCs w:val="28"/>
        </w:rPr>
      </w:pPr>
      <w:r w:rsidRPr="00FD0AB3">
        <w:rPr>
          <w:b/>
          <w:bCs/>
          <w:color w:val="FFFFFF" w:themeColor="background1"/>
          <w:sz w:val="28"/>
          <w:szCs w:val="28"/>
          <w:shd w:val="clear" w:color="auto" w:fill="A5A5A5" w:themeFill="accent3"/>
        </w:rPr>
        <w:t xml:space="preserve">ADMINISTRATION </w:t>
      </w:r>
      <w:r>
        <w:rPr>
          <w:b/>
          <w:bCs/>
          <w:sz w:val="28"/>
          <w:szCs w:val="28"/>
        </w:rPr>
        <w:t xml:space="preserve">  </w:t>
      </w:r>
      <w:r>
        <w:rPr>
          <w:b/>
          <w:bCs/>
          <w:color w:val="002060"/>
          <w:sz w:val="28"/>
          <w:szCs w:val="28"/>
        </w:rPr>
        <w:t>Catégories d’intervention</w:t>
      </w:r>
    </w:p>
    <w:p w14:paraId="65F4AC1B" w14:textId="77777777" w:rsidR="00F6188A" w:rsidRDefault="00F6188A" w:rsidP="00F6188A">
      <w:pPr>
        <w:pStyle w:val="Sansinterligne"/>
        <w:jc w:val="both"/>
      </w:pPr>
    </w:p>
    <w:tbl>
      <w:tblPr>
        <w:tblStyle w:val="Grilledutableau"/>
        <w:tblW w:w="10485" w:type="dxa"/>
        <w:tblLook w:val="04A0" w:firstRow="1" w:lastRow="0" w:firstColumn="1" w:lastColumn="0" w:noHBand="0" w:noVBand="1"/>
      </w:tblPr>
      <w:tblGrid>
        <w:gridCol w:w="3256"/>
        <w:gridCol w:w="7229"/>
      </w:tblGrid>
      <w:tr w:rsidR="00F6188A" w14:paraId="27E1D0B7" w14:textId="77777777" w:rsidTr="000B288C">
        <w:trPr>
          <w:trHeight w:val="191"/>
        </w:trPr>
        <w:tc>
          <w:tcPr>
            <w:tcW w:w="3256" w:type="dxa"/>
          </w:tcPr>
          <w:p w14:paraId="767B6F0F" w14:textId="77777777" w:rsidR="00F6188A" w:rsidRPr="00D6168A" w:rsidRDefault="00F6188A" w:rsidP="000B288C">
            <w:pPr>
              <w:pStyle w:val="Sansinterligne"/>
              <w:rPr>
                <w:b/>
                <w:bCs/>
                <w:color w:val="002060"/>
                <w:sz w:val="20"/>
                <w:szCs w:val="20"/>
              </w:rPr>
            </w:pPr>
            <w:r w:rsidRPr="00D6168A">
              <w:rPr>
                <w:b/>
                <w:bCs/>
                <w:color w:val="002060"/>
                <w:sz w:val="20"/>
                <w:szCs w:val="20"/>
              </w:rPr>
              <w:t>Domaine d’intervention</w:t>
            </w:r>
          </w:p>
        </w:tc>
        <w:tc>
          <w:tcPr>
            <w:tcW w:w="7229" w:type="dxa"/>
            <w:vAlign w:val="center"/>
          </w:tcPr>
          <w:p w14:paraId="786077D3" w14:textId="77777777" w:rsidR="00F6188A" w:rsidRPr="00FD0AB3" w:rsidRDefault="00F6188A" w:rsidP="000B288C">
            <w:pPr>
              <w:pStyle w:val="Sansinterligne"/>
              <w:rPr>
                <w:sz w:val="20"/>
                <w:szCs w:val="20"/>
              </w:rPr>
            </w:pPr>
            <w:r>
              <w:rPr>
                <w:sz w:val="20"/>
                <w:szCs w:val="20"/>
              </w:rPr>
              <w:t xml:space="preserve">084 </w:t>
            </w:r>
            <w:r w:rsidRPr="009937C8">
              <w:rPr>
                <w:sz w:val="20"/>
                <w:szCs w:val="20"/>
              </w:rPr>
              <w:t>Numérisation des transports urbains</w:t>
            </w:r>
          </w:p>
        </w:tc>
      </w:tr>
      <w:tr w:rsidR="00F6188A" w14:paraId="3F32C608" w14:textId="77777777" w:rsidTr="000B288C">
        <w:tc>
          <w:tcPr>
            <w:tcW w:w="3256" w:type="dxa"/>
            <w:vAlign w:val="center"/>
          </w:tcPr>
          <w:p w14:paraId="1D10C816" w14:textId="77777777" w:rsidR="00F6188A" w:rsidRPr="00D6168A" w:rsidRDefault="00F6188A" w:rsidP="000B288C">
            <w:pPr>
              <w:pStyle w:val="Sansinterligne"/>
              <w:rPr>
                <w:b/>
                <w:bCs/>
                <w:color w:val="002060"/>
                <w:sz w:val="20"/>
                <w:szCs w:val="20"/>
              </w:rPr>
            </w:pPr>
            <w:r w:rsidRPr="00D6168A">
              <w:rPr>
                <w:b/>
                <w:bCs/>
                <w:color w:val="002060"/>
                <w:sz w:val="20"/>
                <w:szCs w:val="20"/>
              </w:rPr>
              <w:t>Forme de financement</w:t>
            </w:r>
          </w:p>
        </w:tc>
        <w:tc>
          <w:tcPr>
            <w:tcW w:w="7229" w:type="dxa"/>
            <w:vAlign w:val="center"/>
          </w:tcPr>
          <w:p w14:paraId="27D8B209" w14:textId="77777777" w:rsidR="00F6188A" w:rsidRPr="00FD0AB3" w:rsidRDefault="00F6188A" w:rsidP="000B288C">
            <w:pPr>
              <w:pStyle w:val="Sansinterligne"/>
              <w:rPr>
                <w:sz w:val="20"/>
                <w:szCs w:val="20"/>
              </w:rPr>
            </w:pPr>
            <w:r w:rsidRPr="00FD0AB3">
              <w:rPr>
                <w:sz w:val="20"/>
                <w:szCs w:val="20"/>
              </w:rPr>
              <w:t>01 Subvention</w:t>
            </w:r>
          </w:p>
        </w:tc>
      </w:tr>
      <w:tr w:rsidR="00F6188A" w14:paraId="652CEEB1" w14:textId="77777777" w:rsidTr="000B288C">
        <w:tc>
          <w:tcPr>
            <w:tcW w:w="3256" w:type="dxa"/>
            <w:vAlign w:val="center"/>
          </w:tcPr>
          <w:p w14:paraId="19E3F4AE" w14:textId="77777777" w:rsidR="00F6188A" w:rsidRPr="00D6168A" w:rsidRDefault="00F6188A" w:rsidP="000B288C">
            <w:pPr>
              <w:pStyle w:val="Sansinterligne"/>
              <w:rPr>
                <w:b/>
                <w:bCs/>
                <w:color w:val="002060"/>
                <w:sz w:val="20"/>
                <w:szCs w:val="20"/>
              </w:rPr>
            </w:pPr>
            <w:r w:rsidRPr="00D6168A">
              <w:rPr>
                <w:b/>
                <w:bCs/>
                <w:color w:val="002060"/>
                <w:sz w:val="20"/>
                <w:szCs w:val="20"/>
              </w:rPr>
              <w:t>Mécanisme d’application territorial et approche territoriale</w:t>
            </w:r>
          </w:p>
        </w:tc>
        <w:tc>
          <w:tcPr>
            <w:tcW w:w="7229" w:type="dxa"/>
            <w:vAlign w:val="center"/>
          </w:tcPr>
          <w:p w14:paraId="592E6D88" w14:textId="77777777" w:rsidR="00F6188A" w:rsidRPr="00FD0AB3" w:rsidRDefault="00F6188A" w:rsidP="000B288C">
            <w:pPr>
              <w:pStyle w:val="Sansinterligne"/>
              <w:rPr>
                <w:sz w:val="20"/>
                <w:szCs w:val="20"/>
              </w:rPr>
            </w:pPr>
            <w:r w:rsidRPr="004C54E3">
              <w:rPr>
                <w:sz w:val="20"/>
                <w:szCs w:val="20"/>
              </w:rPr>
              <w:t>19 Autre type d’outil territorial — Zones urbaines fonctionnelles</w:t>
            </w:r>
          </w:p>
        </w:tc>
      </w:tr>
      <w:tr w:rsidR="00F6188A" w14:paraId="46063068" w14:textId="77777777" w:rsidTr="000B288C">
        <w:tc>
          <w:tcPr>
            <w:tcW w:w="3256" w:type="dxa"/>
            <w:vAlign w:val="center"/>
          </w:tcPr>
          <w:p w14:paraId="07CDF8E9" w14:textId="77777777" w:rsidR="00F6188A" w:rsidRPr="00D6168A" w:rsidRDefault="00F6188A" w:rsidP="000B288C">
            <w:pPr>
              <w:pStyle w:val="Sansinterligne"/>
              <w:rPr>
                <w:b/>
                <w:bCs/>
                <w:color w:val="002060"/>
                <w:sz w:val="20"/>
                <w:szCs w:val="20"/>
              </w:rPr>
            </w:pPr>
            <w:r>
              <w:rPr>
                <w:b/>
                <w:bCs/>
                <w:color w:val="002060"/>
                <w:sz w:val="20"/>
                <w:szCs w:val="20"/>
              </w:rPr>
              <w:t>Egalité entre les hommes et les femmes</w:t>
            </w:r>
          </w:p>
        </w:tc>
        <w:tc>
          <w:tcPr>
            <w:tcW w:w="7229" w:type="dxa"/>
            <w:vAlign w:val="center"/>
          </w:tcPr>
          <w:p w14:paraId="03D2B8BF" w14:textId="77777777" w:rsidR="00F6188A" w:rsidRPr="00D6168A" w:rsidRDefault="00F6188A" w:rsidP="000B288C">
            <w:pPr>
              <w:pStyle w:val="Sansinterligne"/>
              <w:rPr>
                <w:sz w:val="20"/>
                <w:szCs w:val="20"/>
              </w:rPr>
            </w:pPr>
            <w:r w:rsidRPr="008D2D6C">
              <w:rPr>
                <w:sz w:val="20"/>
                <w:szCs w:val="20"/>
              </w:rPr>
              <w:t>03 Neutralité du point de vue de l'égalité entre les hommes et les femmes</w:t>
            </w:r>
          </w:p>
        </w:tc>
      </w:tr>
    </w:tbl>
    <w:p w14:paraId="0A8EF94E" w14:textId="77777777" w:rsidR="00F6188A" w:rsidRDefault="00F6188A" w:rsidP="00F6188A">
      <w:pPr>
        <w:pStyle w:val="Sansinterligne"/>
        <w:jc w:val="both"/>
      </w:pPr>
    </w:p>
    <w:p w14:paraId="29FEE8FF" w14:textId="77777777" w:rsidR="00F6188A" w:rsidRPr="002C70D5" w:rsidRDefault="00F6188A" w:rsidP="00F6188A">
      <w:pPr>
        <w:pStyle w:val="Sansinterligne"/>
        <w:shd w:val="clear" w:color="auto" w:fill="B7ECFF"/>
        <w:jc w:val="both"/>
        <w:rPr>
          <w:b/>
          <w:bCs/>
          <w:sz w:val="28"/>
          <w:szCs w:val="28"/>
        </w:rPr>
      </w:pPr>
      <w:proofErr w:type="gramStart"/>
      <w:r w:rsidRPr="00D6168A">
        <w:rPr>
          <w:b/>
          <w:bCs/>
          <w:color w:val="FFFFFF" w:themeColor="background1"/>
          <w:sz w:val="28"/>
          <w:szCs w:val="28"/>
          <w:shd w:val="clear" w:color="auto" w:fill="00B0F0"/>
        </w:rPr>
        <w:t xml:space="preserve">CONTACT </w:t>
      </w:r>
      <w:r>
        <w:rPr>
          <w:b/>
          <w:bCs/>
          <w:color w:val="FFFFFF" w:themeColor="background1"/>
          <w:sz w:val="28"/>
          <w:szCs w:val="28"/>
          <w:shd w:val="clear" w:color="auto" w:fill="00B0F0"/>
        </w:rPr>
        <w:t xml:space="preserve"> </w:t>
      </w:r>
      <w:r w:rsidRPr="00A617AC">
        <w:rPr>
          <w:b/>
          <w:bCs/>
          <w:color w:val="002060"/>
          <w:sz w:val="28"/>
          <w:szCs w:val="28"/>
        </w:rPr>
        <w:t>Service</w:t>
      </w:r>
      <w:proofErr w:type="gramEnd"/>
      <w:r w:rsidRPr="00A617AC">
        <w:rPr>
          <w:b/>
          <w:bCs/>
          <w:color w:val="002060"/>
          <w:sz w:val="28"/>
          <w:szCs w:val="28"/>
        </w:rPr>
        <w:t>(</w:t>
      </w:r>
      <w:r>
        <w:rPr>
          <w:b/>
          <w:bCs/>
          <w:color w:val="002060"/>
          <w:sz w:val="28"/>
          <w:szCs w:val="28"/>
        </w:rPr>
        <w:t>s) en charge de l’instruction des dossiers</w:t>
      </w:r>
    </w:p>
    <w:p w14:paraId="333D594D" w14:textId="77777777" w:rsidR="00F6188A" w:rsidRDefault="00F6188A" w:rsidP="00F6188A">
      <w:pPr>
        <w:pStyle w:val="Sansinterligne"/>
        <w:jc w:val="both"/>
      </w:pPr>
    </w:p>
    <w:p w14:paraId="5397B092" w14:textId="77777777" w:rsidR="00F6188A" w:rsidRDefault="00F6188A" w:rsidP="00F6188A">
      <w:pPr>
        <w:pStyle w:val="Sansinterligne"/>
        <w:jc w:val="both"/>
      </w:pPr>
      <w:r w:rsidRPr="00D6168A">
        <w:rPr>
          <w:b/>
          <w:bCs/>
          <w:color w:val="002060"/>
        </w:rPr>
        <w:t>Contact :</w:t>
      </w:r>
      <w:r>
        <w:t xml:space="preserve"> Conseil régional Centre-Val de Loire, Direction Europe et International, </w:t>
      </w:r>
      <w:bookmarkStart w:id="3" w:name="_Hlk116922831"/>
      <w:r w:rsidRPr="00FE0993">
        <w:t>Service Programmation des Fonds européens FEDER FSE+</w:t>
      </w:r>
    </w:p>
    <w:p w14:paraId="7D5DA375" w14:textId="77777777" w:rsidR="00F6188A" w:rsidRDefault="00F6188A" w:rsidP="00F6188A">
      <w:pPr>
        <w:pStyle w:val="Sansinterligne"/>
        <w:jc w:val="both"/>
      </w:pPr>
      <w:r>
        <w:rPr>
          <w:noProof/>
        </w:rPr>
        <w:drawing>
          <wp:inline distT="0" distB="0" distL="0" distR="0" wp14:anchorId="6F4F3F40" wp14:editId="4E3A5B82">
            <wp:extent cx="204826" cy="204826"/>
            <wp:effectExtent l="0" t="0" r="5080" b="5080"/>
            <wp:docPr id="784945808" name="Picture 784945808"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4826" cy="204826"/>
                    </a:xfrm>
                    <a:prstGeom prst="rect">
                      <a:avLst/>
                    </a:prstGeom>
                  </pic:spPr>
                </pic:pic>
              </a:graphicData>
            </a:graphic>
          </wp:inline>
        </w:drawing>
      </w:r>
      <w:r>
        <w:t xml:space="preserve"> : </w:t>
      </w:r>
      <w:hyperlink r:id="rId16" w:history="1">
        <w:r w:rsidRPr="00E4771E">
          <w:rPr>
            <w:rStyle w:val="Lienhypertexte"/>
          </w:rPr>
          <w:t>ext-europe@centrevaldeloire.fr</w:t>
        </w:r>
      </w:hyperlink>
    </w:p>
    <w:bookmarkEnd w:id="3"/>
    <w:p w14:paraId="0C54B838" w14:textId="77777777" w:rsidR="00F6188A" w:rsidRPr="007059B7" w:rsidRDefault="00F6188A" w:rsidP="00F6188A">
      <w:pPr>
        <w:pStyle w:val="Sansinterligne"/>
        <w:ind w:left="720"/>
        <w:jc w:val="both"/>
      </w:pPr>
    </w:p>
    <w:p w14:paraId="46A1E76B" w14:textId="77777777" w:rsidR="006A2AF7" w:rsidRPr="009325D3" w:rsidRDefault="006A2AF7" w:rsidP="006A2AF7">
      <w:pPr>
        <w:spacing w:after="160" w:line="259" w:lineRule="auto"/>
        <w:jc w:val="left"/>
        <w:rPr>
          <w:rFonts w:ascii="Calibri" w:hAnsi="Calibri" w:cs="Calibri"/>
        </w:rPr>
      </w:pPr>
    </w:p>
    <w:p w14:paraId="307F0295" w14:textId="00FFE425" w:rsidR="0001429F" w:rsidRDefault="0001429F" w:rsidP="006A2AF7">
      <w:pPr>
        <w:spacing w:after="160" w:line="259" w:lineRule="auto"/>
        <w:jc w:val="left"/>
        <w:rPr>
          <w:rFonts w:ascii="Calibri" w:hAnsi="Calibri" w:cs="Calibri"/>
        </w:rPr>
      </w:pPr>
    </w:p>
    <w:sectPr w:rsidR="0001429F" w:rsidSect="000E1C19">
      <w:pgSz w:w="11906" w:h="16838"/>
      <w:pgMar w:top="56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2E0B" w14:textId="77777777" w:rsidR="00314B76" w:rsidRDefault="00314B76" w:rsidP="00314B76">
      <w:pPr>
        <w:spacing w:after="0" w:line="240" w:lineRule="auto"/>
      </w:pPr>
      <w:r>
        <w:separator/>
      </w:r>
    </w:p>
  </w:endnote>
  <w:endnote w:type="continuationSeparator" w:id="0">
    <w:p w14:paraId="1CC69BB7" w14:textId="77777777" w:rsidR="00314B76" w:rsidRDefault="00314B76" w:rsidP="0031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EBD5" w14:textId="77777777" w:rsidR="00314B76" w:rsidRDefault="00314B76" w:rsidP="00314B76">
      <w:pPr>
        <w:spacing w:after="0" w:line="240" w:lineRule="auto"/>
      </w:pPr>
      <w:r>
        <w:separator/>
      </w:r>
    </w:p>
  </w:footnote>
  <w:footnote w:type="continuationSeparator" w:id="0">
    <w:p w14:paraId="7797801A" w14:textId="77777777" w:rsidR="00314B76" w:rsidRDefault="00314B76" w:rsidP="00314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956"/>
    <w:multiLevelType w:val="hybridMultilevel"/>
    <w:tmpl w:val="FF6A166E"/>
    <w:lvl w:ilvl="0" w:tplc="C518DC98">
      <w:start w:val="1"/>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31916E0"/>
    <w:multiLevelType w:val="hybridMultilevel"/>
    <w:tmpl w:val="A2BA3FC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9D0DAF"/>
    <w:multiLevelType w:val="hybridMultilevel"/>
    <w:tmpl w:val="2FDA419A"/>
    <w:lvl w:ilvl="0" w:tplc="C8D6443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5B640C"/>
    <w:multiLevelType w:val="hybridMultilevel"/>
    <w:tmpl w:val="B374014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2F45C0"/>
    <w:multiLevelType w:val="hybridMultilevel"/>
    <w:tmpl w:val="591E38B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040FE2"/>
    <w:multiLevelType w:val="hybridMultilevel"/>
    <w:tmpl w:val="2506D4A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1102F1"/>
    <w:multiLevelType w:val="hybridMultilevel"/>
    <w:tmpl w:val="1C3EBE6E"/>
    <w:lvl w:ilvl="0" w:tplc="C8D6443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DF53BD"/>
    <w:multiLevelType w:val="hybridMultilevel"/>
    <w:tmpl w:val="82382D32"/>
    <w:lvl w:ilvl="0" w:tplc="C8D6443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4B59B5"/>
    <w:multiLevelType w:val="hybridMultilevel"/>
    <w:tmpl w:val="9EDE1F5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2331403B"/>
    <w:multiLevelType w:val="hybridMultilevel"/>
    <w:tmpl w:val="99F2444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871240"/>
    <w:multiLevelType w:val="hybridMultilevel"/>
    <w:tmpl w:val="A980382E"/>
    <w:lvl w:ilvl="0" w:tplc="C518DC9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BA1579"/>
    <w:multiLevelType w:val="hybridMultilevel"/>
    <w:tmpl w:val="062C2F3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1865CB"/>
    <w:multiLevelType w:val="hybridMultilevel"/>
    <w:tmpl w:val="C08A131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B4035A"/>
    <w:multiLevelType w:val="hybridMultilevel"/>
    <w:tmpl w:val="8DCAF2F0"/>
    <w:lvl w:ilvl="0" w:tplc="A7C01A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C34839"/>
    <w:multiLevelType w:val="hybridMultilevel"/>
    <w:tmpl w:val="ED883E1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1E2DC1"/>
    <w:multiLevelType w:val="hybridMultilevel"/>
    <w:tmpl w:val="1D603AD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A567A5"/>
    <w:multiLevelType w:val="hybridMultilevel"/>
    <w:tmpl w:val="C33420C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FA0FA0"/>
    <w:multiLevelType w:val="hybridMultilevel"/>
    <w:tmpl w:val="3D7E6F1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395A7966"/>
    <w:multiLevelType w:val="hybridMultilevel"/>
    <w:tmpl w:val="05864C96"/>
    <w:lvl w:ilvl="0" w:tplc="B46E97E4">
      <w:numFmt w:val="bullet"/>
      <w:lvlText w:val="-"/>
      <w:lvlJc w:val="left"/>
      <w:pPr>
        <w:ind w:left="720" w:hanging="360"/>
      </w:pPr>
      <w:rPr>
        <w:rFonts w:ascii="Verdana" w:eastAsia="Tahoma"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916852"/>
    <w:multiLevelType w:val="hybridMultilevel"/>
    <w:tmpl w:val="B32C0B3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617A6B"/>
    <w:multiLevelType w:val="hybridMultilevel"/>
    <w:tmpl w:val="754AFB3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256F63"/>
    <w:multiLevelType w:val="hybridMultilevel"/>
    <w:tmpl w:val="D8E08E4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4B265B"/>
    <w:multiLevelType w:val="hybridMultilevel"/>
    <w:tmpl w:val="47EA3D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3924919"/>
    <w:multiLevelType w:val="hybridMultilevel"/>
    <w:tmpl w:val="25C09152"/>
    <w:lvl w:ilvl="0" w:tplc="C8D6443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FA58D9"/>
    <w:multiLevelType w:val="hybridMultilevel"/>
    <w:tmpl w:val="53904F48"/>
    <w:lvl w:ilvl="0" w:tplc="DB864322">
      <w:start w:val="1"/>
      <w:numFmt w:val="decimal"/>
      <w:lvlText w:val="%1-"/>
      <w:lvlJc w:val="left"/>
      <w:pPr>
        <w:ind w:left="1080" w:hanging="360"/>
      </w:pPr>
      <w:rPr>
        <w:rFonts w:hint="default"/>
        <w:b/>
        <w:bCs/>
        <w:color w:val="00206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566776CF"/>
    <w:multiLevelType w:val="hybridMultilevel"/>
    <w:tmpl w:val="EBF6F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8500EE"/>
    <w:multiLevelType w:val="hybridMultilevel"/>
    <w:tmpl w:val="C8F046E4"/>
    <w:lvl w:ilvl="0" w:tplc="C518DC98">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5E22144C"/>
    <w:multiLevelType w:val="hybridMultilevel"/>
    <w:tmpl w:val="A1A844E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80586F"/>
    <w:multiLevelType w:val="hybridMultilevel"/>
    <w:tmpl w:val="A3C2C36C"/>
    <w:lvl w:ilvl="0" w:tplc="C518DC9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826E2E"/>
    <w:multiLevelType w:val="hybridMultilevel"/>
    <w:tmpl w:val="51605CFE"/>
    <w:lvl w:ilvl="0" w:tplc="C518DC98">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8B332D"/>
    <w:multiLevelType w:val="hybridMultilevel"/>
    <w:tmpl w:val="25D4AA9C"/>
    <w:lvl w:ilvl="0" w:tplc="8814CE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A3534A7"/>
    <w:multiLevelType w:val="hybridMultilevel"/>
    <w:tmpl w:val="56821BA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6BDA5007"/>
    <w:multiLevelType w:val="hybridMultilevel"/>
    <w:tmpl w:val="A7E6A45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3F6263"/>
    <w:multiLevelType w:val="hybridMultilevel"/>
    <w:tmpl w:val="360E22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8CE52C5"/>
    <w:multiLevelType w:val="hybridMultilevel"/>
    <w:tmpl w:val="4BB6E822"/>
    <w:lvl w:ilvl="0" w:tplc="C518DC98">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791E35AD"/>
    <w:multiLevelType w:val="multilevel"/>
    <w:tmpl w:val="244E1B6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9F04A0C"/>
    <w:multiLevelType w:val="hybridMultilevel"/>
    <w:tmpl w:val="00AC3B66"/>
    <w:lvl w:ilvl="0" w:tplc="F4CE1A86">
      <w:numFmt w:val="bullet"/>
      <w:lvlText w:val="-"/>
      <w:lvlJc w:val="left"/>
      <w:pPr>
        <w:ind w:left="720" w:hanging="360"/>
      </w:pPr>
      <w:rPr>
        <w:rFonts w:ascii="Verdana" w:eastAsia="Tahoma" w:hAnsi="Verdana" w:cs="Tahoma"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AD0ED7"/>
    <w:multiLevelType w:val="hybridMultilevel"/>
    <w:tmpl w:val="38D4A2D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0E509A"/>
    <w:multiLevelType w:val="hybridMultilevel"/>
    <w:tmpl w:val="EDAA1E3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477162"/>
    <w:multiLevelType w:val="hybridMultilevel"/>
    <w:tmpl w:val="0EFA05E8"/>
    <w:lvl w:ilvl="0" w:tplc="C518DC98">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7D5F7C0B"/>
    <w:multiLevelType w:val="hybridMultilevel"/>
    <w:tmpl w:val="0CCE91B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EAB3517"/>
    <w:multiLevelType w:val="hybridMultilevel"/>
    <w:tmpl w:val="FF0E784C"/>
    <w:lvl w:ilvl="0" w:tplc="C518DC98">
      <w:start w:val="1"/>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56E60F6E">
      <w:numFmt w:val="bullet"/>
      <w:lvlText w:val="•"/>
      <w:lvlJc w:val="left"/>
      <w:pPr>
        <w:ind w:left="2508" w:hanging="360"/>
      </w:pPr>
      <w:rPr>
        <w:rFonts w:ascii="Calibri" w:eastAsiaTheme="minorHAnsi" w:hAnsi="Calibri" w:cs="Calibri"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2121606842">
    <w:abstractNumId w:val="30"/>
  </w:num>
  <w:num w:numId="2" w16cid:durableId="93789768">
    <w:abstractNumId w:val="37"/>
  </w:num>
  <w:num w:numId="3" w16cid:durableId="109208694">
    <w:abstractNumId w:val="20"/>
  </w:num>
  <w:num w:numId="4" w16cid:durableId="1697005644">
    <w:abstractNumId w:val="34"/>
  </w:num>
  <w:num w:numId="5" w16cid:durableId="1883705504">
    <w:abstractNumId w:val="26"/>
  </w:num>
  <w:num w:numId="6" w16cid:durableId="360085336">
    <w:abstractNumId w:val="3"/>
  </w:num>
  <w:num w:numId="7" w16cid:durableId="1899510785">
    <w:abstractNumId w:val="28"/>
  </w:num>
  <w:num w:numId="8" w16cid:durableId="1671567226">
    <w:abstractNumId w:val="19"/>
  </w:num>
  <w:num w:numId="9" w16cid:durableId="1911504204">
    <w:abstractNumId w:val="40"/>
  </w:num>
  <w:num w:numId="10" w16cid:durableId="907149449">
    <w:abstractNumId w:val="16"/>
  </w:num>
  <w:num w:numId="11" w16cid:durableId="602959049">
    <w:abstractNumId w:val="27"/>
  </w:num>
  <w:num w:numId="12" w16cid:durableId="782696623">
    <w:abstractNumId w:val="41"/>
  </w:num>
  <w:num w:numId="13" w16cid:durableId="598946562">
    <w:abstractNumId w:val="21"/>
  </w:num>
  <w:num w:numId="14" w16cid:durableId="1909222483">
    <w:abstractNumId w:val="17"/>
  </w:num>
  <w:num w:numId="15" w16cid:durableId="1258296645">
    <w:abstractNumId w:val="0"/>
  </w:num>
  <w:num w:numId="16" w16cid:durableId="758789078">
    <w:abstractNumId w:val="42"/>
  </w:num>
  <w:num w:numId="17" w16cid:durableId="39746156">
    <w:abstractNumId w:val="32"/>
  </w:num>
  <w:num w:numId="18" w16cid:durableId="326323773">
    <w:abstractNumId w:val="11"/>
  </w:num>
  <w:num w:numId="19" w16cid:durableId="282805822">
    <w:abstractNumId w:val="31"/>
  </w:num>
  <w:num w:numId="20" w16cid:durableId="1122110109">
    <w:abstractNumId w:val="12"/>
  </w:num>
  <w:num w:numId="21" w16cid:durableId="387802011">
    <w:abstractNumId w:val="38"/>
  </w:num>
  <w:num w:numId="22" w16cid:durableId="1126121096">
    <w:abstractNumId w:val="8"/>
  </w:num>
  <w:num w:numId="23" w16cid:durableId="1094984143">
    <w:abstractNumId w:val="5"/>
  </w:num>
  <w:num w:numId="24" w16cid:durableId="584994027">
    <w:abstractNumId w:val="15"/>
  </w:num>
  <w:num w:numId="25" w16cid:durableId="1327200515">
    <w:abstractNumId w:val="36"/>
  </w:num>
  <w:num w:numId="26" w16cid:durableId="220405424">
    <w:abstractNumId w:val="4"/>
  </w:num>
  <w:num w:numId="27" w16cid:durableId="1019043271">
    <w:abstractNumId w:val="33"/>
  </w:num>
  <w:num w:numId="28" w16cid:durableId="1886477742">
    <w:abstractNumId w:val="24"/>
  </w:num>
  <w:num w:numId="29" w16cid:durableId="39943026">
    <w:abstractNumId w:val="39"/>
  </w:num>
  <w:num w:numId="30" w16cid:durableId="1036347110">
    <w:abstractNumId w:val="35"/>
  </w:num>
  <w:num w:numId="31" w16cid:durableId="1603806479">
    <w:abstractNumId w:val="29"/>
  </w:num>
  <w:num w:numId="32" w16cid:durableId="688944225">
    <w:abstractNumId w:val="10"/>
  </w:num>
  <w:num w:numId="33" w16cid:durableId="1256935556">
    <w:abstractNumId w:val="1"/>
  </w:num>
  <w:num w:numId="34" w16cid:durableId="1011684353">
    <w:abstractNumId w:val="9"/>
  </w:num>
  <w:num w:numId="35" w16cid:durableId="961107293">
    <w:abstractNumId w:val="14"/>
  </w:num>
  <w:num w:numId="36" w16cid:durableId="2011634008">
    <w:abstractNumId w:val="25"/>
  </w:num>
  <w:num w:numId="37" w16cid:durableId="5442761">
    <w:abstractNumId w:val="13"/>
  </w:num>
  <w:num w:numId="38" w16cid:durableId="2118982462">
    <w:abstractNumId w:val="2"/>
  </w:num>
  <w:num w:numId="39" w16cid:durableId="1986082045">
    <w:abstractNumId w:val="22"/>
  </w:num>
  <w:num w:numId="40" w16cid:durableId="563686740">
    <w:abstractNumId w:val="7"/>
  </w:num>
  <w:num w:numId="41" w16cid:durableId="586692013">
    <w:abstractNumId w:val="23"/>
  </w:num>
  <w:num w:numId="42" w16cid:durableId="802695960">
    <w:abstractNumId w:val="6"/>
  </w:num>
  <w:num w:numId="43" w16cid:durableId="251817627">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1429F"/>
    <w:rsid w:val="000E1C19"/>
    <w:rsid w:val="0015770F"/>
    <w:rsid w:val="001A68D1"/>
    <w:rsid w:val="002C6E21"/>
    <w:rsid w:val="003004C5"/>
    <w:rsid w:val="00306CCC"/>
    <w:rsid w:val="00314B76"/>
    <w:rsid w:val="00370695"/>
    <w:rsid w:val="005521DB"/>
    <w:rsid w:val="005F410E"/>
    <w:rsid w:val="006347A3"/>
    <w:rsid w:val="0065762F"/>
    <w:rsid w:val="006A2AF7"/>
    <w:rsid w:val="00781940"/>
    <w:rsid w:val="007856FC"/>
    <w:rsid w:val="007D32D5"/>
    <w:rsid w:val="007E4FF6"/>
    <w:rsid w:val="007F4EF4"/>
    <w:rsid w:val="00820553"/>
    <w:rsid w:val="009057D7"/>
    <w:rsid w:val="009A2178"/>
    <w:rsid w:val="00A36E22"/>
    <w:rsid w:val="00AE38D5"/>
    <w:rsid w:val="00B801F8"/>
    <w:rsid w:val="00B87CF4"/>
    <w:rsid w:val="00C16113"/>
    <w:rsid w:val="00D349E1"/>
    <w:rsid w:val="00F17487"/>
    <w:rsid w:val="00F6188A"/>
    <w:rsid w:val="00F96515"/>
    <w:rsid w:val="00FF0E72"/>
    <w:rsid w:val="00FF5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 w:type="paragraph" w:styleId="Notedebasdepage">
    <w:name w:val="footnote text"/>
    <w:basedOn w:val="Normal"/>
    <w:link w:val="NotedebasdepageCar"/>
    <w:uiPriority w:val="99"/>
    <w:semiHidden/>
    <w:unhideWhenUsed/>
    <w:rsid w:val="00314B76"/>
    <w:pPr>
      <w:spacing w:after="0" w:line="240" w:lineRule="auto"/>
      <w:jc w:val="left"/>
    </w:pPr>
    <w:rPr>
      <w:rFonts w:asciiTheme="minorHAnsi" w:hAnsiTheme="minorHAnsi"/>
      <w:szCs w:val="20"/>
    </w:rPr>
  </w:style>
  <w:style w:type="character" w:customStyle="1" w:styleId="NotedebasdepageCar">
    <w:name w:val="Note de bas de page Car"/>
    <w:basedOn w:val="Policepardfaut"/>
    <w:link w:val="Notedebasdepage"/>
    <w:uiPriority w:val="99"/>
    <w:semiHidden/>
    <w:rsid w:val="00314B76"/>
    <w:rPr>
      <w:sz w:val="20"/>
      <w:szCs w:val="20"/>
    </w:rPr>
  </w:style>
  <w:style w:type="character" w:styleId="Appelnotedebasdep">
    <w:name w:val="footnote reference"/>
    <w:basedOn w:val="Policepardfaut"/>
    <w:uiPriority w:val="99"/>
    <w:semiHidden/>
    <w:unhideWhenUsed/>
    <w:rsid w:val="00314B76"/>
    <w:rPr>
      <w:vertAlign w:val="superscript"/>
    </w:rPr>
  </w:style>
  <w:style w:type="paragraph" w:customStyle="1" w:styleId="paragraph">
    <w:name w:val="paragraph"/>
    <w:basedOn w:val="Normal"/>
    <w:rsid w:val="00306CC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06CCC"/>
  </w:style>
  <w:style w:type="character" w:customStyle="1" w:styleId="eop">
    <w:name w:val="eop"/>
    <w:basedOn w:val="Policepardfaut"/>
    <w:rsid w:val="00306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xt-europe@centrevaldeloir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2ACFA5-EB4E-420D-B86C-5EE53F319423}">
  <ds:schemaRefs>
    <ds:schemaRef ds:uri="http://schemas.microsoft.com/sharepoint/v3/contenttype/forms"/>
  </ds:schemaRefs>
</ds:datastoreItem>
</file>

<file path=customXml/itemProps2.xml><?xml version="1.0" encoding="utf-8"?>
<ds:datastoreItem xmlns:ds="http://schemas.openxmlformats.org/officeDocument/2006/customXml" ds:itemID="{5F86F2A4-BCA2-4FB8-9DA3-5ECA67965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9E3EF-CDF4-430E-BE3E-AE673236878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b64a37f-c5a3-4adb-861c-9d3b60f16b6d"/>
    <ds:schemaRef ds:uri="http://purl.org/dc/terms/"/>
    <ds:schemaRef ds:uri="55cc30d2-b7bd-4f08-b9b2-9735056b3ba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1707</Words>
  <Characters>9391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3</cp:revision>
  <dcterms:created xsi:type="dcterms:W3CDTF">2022-11-30T12:56:00Z</dcterms:created>
  <dcterms:modified xsi:type="dcterms:W3CDTF">2024-01-10T15:32:00Z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