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8F3CE" w14:textId="77777777" w:rsidR="000E1C19" w:rsidRPr="009325D3" w:rsidRDefault="000E1C19" w:rsidP="000E1C19">
      <w:pPr>
        <w:pStyle w:val="Sansinterligne"/>
        <w:jc w:val="both"/>
        <w:rPr>
          <w:rFonts w:ascii="Calibri" w:hAnsi="Calibri" w:cs="Calibri"/>
        </w:rPr>
      </w:pPr>
      <w:r w:rsidRPr="009325D3">
        <w:rPr>
          <w:rFonts w:ascii="Calibri" w:hAnsi="Calibri" w:cs="Calibri"/>
          <w:noProof/>
        </w:rPr>
        <mc:AlternateContent>
          <mc:Choice Requires="wps">
            <w:drawing>
              <wp:anchor distT="0" distB="0" distL="114300" distR="114300" simplePos="0" relativeHeight="251660288" behindDoc="0" locked="0" layoutInCell="1" allowOverlap="1" wp14:anchorId="5486B3DE" wp14:editId="4EAF269C">
                <wp:simplePos x="0" y="0"/>
                <wp:positionH relativeFrom="margin">
                  <wp:posOffset>3225165</wp:posOffset>
                </wp:positionH>
                <wp:positionV relativeFrom="paragraph">
                  <wp:posOffset>-7620</wp:posOffset>
                </wp:positionV>
                <wp:extent cx="1809750" cy="685800"/>
                <wp:effectExtent l="19050" t="0" r="38100" b="19050"/>
                <wp:wrapNone/>
                <wp:docPr id="3" name="Flèche : chevron 3"/>
                <wp:cNvGraphicFramePr/>
                <a:graphic xmlns:a="http://schemas.openxmlformats.org/drawingml/2006/main">
                  <a:graphicData uri="http://schemas.microsoft.com/office/word/2010/wordprocessingShape">
                    <wps:wsp>
                      <wps:cNvSpPr/>
                      <wps:spPr>
                        <a:xfrm>
                          <a:off x="0" y="0"/>
                          <a:ext cx="1809750" cy="685800"/>
                        </a:xfrm>
                        <a:prstGeom prst="chevron">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A3E7C0" w14:textId="77777777" w:rsidR="000E1C19" w:rsidRDefault="000E1C19" w:rsidP="000E1C19">
                            <w:pPr>
                              <w:pStyle w:val="Sansinterligne"/>
                              <w:jc w:val="center"/>
                              <w:rPr>
                                <w:b/>
                                <w:bCs/>
                              </w:rPr>
                            </w:pPr>
                            <w:r w:rsidRPr="006C22DB">
                              <w:rPr>
                                <w:b/>
                                <w:bCs/>
                              </w:rPr>
                              <w:t>Objectif spécifique</w:t>
                            </w:r>
                          </w:p>
                          <w:p w14:paraId="7BFE61D3" w14:textId="4A4F00A7" w:rsidR="000E1C19" w:rsidRPr="006C22DB" w:rsidRDefault="007E4FF6" w:rsidP="000E1C19">
                            <w:pPr>
                              <w:pStyle w:val="Sansinterligne"/>
                              <w:jc w:val="center"/>
                              <w:rPr>
                                <w:b/>
                                <w:bCs/>
                              </w:rPr>
                            </w:pPr>
                            <w:r>
                              <w:rPr>
                                <w:b/>
                                <w:bCs/>
                              </w:rPr>
                              <w:t>2.</w:t>
                            </w:r>
                            <w:r w:rsidR="006A2AF7">
                              <w:rPr>
                                <w:b/>
                                <w:bCs/>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486B3D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Flèche : chevron 3" o:spid="_x0000_s1026" type="#_x0000_t55" style="position:absolute;left:0;text-align:left;margin-left:253.95pt;margin-top:-.6pt;width:142.5pt;height:54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" adj="17507" fillcolor="#00b0f0" strokecolor="#1f3763 [1604]" strokeweight="1pt">
                <v:textbox>
                  <w:txbxContent>
                    <w:p w14:paraId="05A3E7C0" w14:textId="77777777" w:rsidR="000E1C19" w:rsidRDefault="000E1C19" w:rsidP="000E1C19">
                      <w:pPr>
                        <w:pStyle w:val="Sansinterligne"/>
                        <w:jc w:val="center"/>
                        <w:rPr>
                          <w:b/>
                          <w:bCs/>
                        </w:rPr>
                      </w:pPr>
                      <w:r w:rsidRPr="006C22DB">
                        <w:rPr>
                          <w:b/>
                          <w:bCs/>
                        </w:rPr>
                        <w:t>Objectif spécifique</w:t>
                      </w:r>
                    </w:p>
                    <w:p w14:paraId="7BFE61D3" w14:textId="4A4F00A7" w:rsidR="000E1C19" w:rsidRPr="006C22DB" w:rsidRDefault="007E4FF6" w:rsidP="000E1C19">
                      <w:pPr>
                        <w:pStyle w:val="Sansinterligne"/>
                        <w:jc w:val="center"/>
                        <w:rPr>
                          <w:b/>
                          <w:bCs/>
                        </w:rPr>
                      </w:pPr>
                      <w:r>
                        <w:rPr>
                          <w:b/>
                          <w:bCs/>
                        </w:rPr>
                        <w:t>2.</w:t>
                      </w:r>
                      <w:r w:rsidR="006A2AF7">
                        <w:rPr>
                          <w:b/>
                          <w:bCs/>
                        </w:rPr>
                        <w:t>8</w:t>
                      </w:r>
                    </w:p>
                  </w:txbxContent>
                </v:textbox>
                <w10:wrap anchorx="margin"/>
              </v:shape>
            </w:pict>
          </mc:Fallback>
        </mc:AlternateContent>
      </w:r>
      <w:r w:rsidRPr="009325D3">
        <w:rPr>
          <w:rFonts w:ascii="Calibri" w:hAnsi="Calibri" w:cs="Calibri"/>
          <w:noProof/>
        </w:rPr>
        <mc:AlternateContent>
          <mc:Choice Requires="wps">
            <w:drawing>
              <wp:anchor distT="0" distB="0" distL="114300" distR="114300" simplePos="0" relativeHeight="251661312" behindDoc="0" locked="0" layoutInCell="1" allowOverlap="1" wp14:anchorId="30691C25" wp14:editId="4B697961">
                <wp:simplePos x="0" y="0"/>
                <wp:positionH relativeFrom="margin">
                  <wp:posOffset>4810760</wp:posOffset>
                </wp:positionH>
                <wp:positionV relativeFrom="paragraph">
                  <wp:posOffset>5715</wp:posOffset>
                </wp:positionV>
                <wp:extent cx="1987550" cy="685800"/>
                <wp:effectExtent l="19050" t="0" r="31750" b="19050"/>
                <wp:wrapNone/>
                <wp:docPr id="5" name="Flèche : chevron 5"/>
                <wp:cNvGraphicFramePr/>
                <a:graphic xmlns:a="http://schemas.openxmlformats.org/drawingml/2006/main">
                  <a:graphicData uri="http://schemas.microsoft.com/office/word/2010/wordprocessingShape">
                    <wps:wsp>
                      <wps:cNvSpPr/>
                      <wps:spPr>
                        <a:xfrm>
                          <a:off x="0" y="0"/>
                          <a:ext cx="1987550" cy="685800"/>
                        </a:xfrm>
                        <a:prstGeom prst="chevron">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08D410" w14:textId="77777777" w:rsidR="000E1C19" w:rsidRDefault="000E1C19" w:rsidP="000E1C19">
                            <w:pPr>
                              <w:pStyle w:val="Sansinterligne"/>
                              <w:jc w:val="center"/>
                              <w:rPr>
                                <w:b/>
                                <w:bCs/>
                              </w:rPr>
                            </w:pPr>
                            <w:r w:rsidRPr="006C22DB">
                              <w:rPr>
                                <w:b/>
                                <w:bCs/>
                              </w:rPr>
                              <w:t>Axe d’intervention</w:t>
                            </w:r>
                          </w:p>
                          <w:p w14:paraId="6ABC39FC" w14:textId="44E14D9A" w:rsidR="000E1C19" w:rsidRPr="006C22DB" w:rsidRDefault="006A2AF7" w:rsidP="000E1C19">
                            <w:pPr>
                              <w:pStyle w:val="Sansinterligne"/>
                              <w:jc w:val="center"/>
                              <w:rPr>
                                <w:b/>
                                <w:bCs/>
                              </w:rPr>
                            </w:pPr>
                            <w:r>
                              <w:rPr>
                                <w:b/>
                                <w:bCs/>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691C25" id="Flèche : chevron 5" o:spid="_x0000_s1027" type="#_x0000_t55" style="position:absolute;left:0;text-align:left;margin-left:378.8pt;margin-top:.45pt;width:156.5pt;height:54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" adj="17873" fillcolor="#ffc000 [3207]" strokecolor="#1f3763 [1604]" strokeweight="1pt">
                <v:textbox>
                  <w:txbxContent>
                    <w:p w14:paraId="2108D410" w14:textId="77777777" w:rsidR="000E1C19" w:rsidRDefault="000E1C19" w:rsidP="000E1C19">
                      <w:pPr>
                        <w:pStyle w:val="Sansinterligne"/>
                        <w:jc w:val="center"/>
                        <w:rPr>
                          <w:b/>
                          <w:bCs/>
                        </w:rPr>
                      </w:pPr>
                      <w:r w:rsidRPr="006C22DB">
                        <w:rPr>
                          <w:b/>
                          <w:bCs/>
                        </w:rPr>
                        <w:t>Axe d’intervention</w:t>
                      </w:r>
                    </w:p>
                    <w:p w14:paraId="6ABC39FC" w14:textId="44E14D9A" w:rsidR="000E1C19" w:rsidRPr="006C22DB" w:rsidRDefault="006A2AF7" w:rsidP="000E1C19">
                      <w:pPr>
                        <w:pStyle w:val="Sansinterligne"/>
                        <w:jc w:val="center"/>
                        <w:rPr>
                          <w:b/>
                          <w:bCs/>
                        </w:rPr>
                      </w:pPr>
                      <w:r>
                        <w:rPr>
                          <w:b/>
                          <w:bCs/>
                        </w:rPr>
                        <w:t>4</w:t>
                      </w:r>
                    </w:p>
                  </w:txbxContent>
                </v:textbox>
                <w10:wrap anchorx="margin"/>
              </v:shape>
            </w:pict>
          </mc:Fallback>
        </mc:AlternateContent>
      </w:r>
      <w:r w:rsidRPr="009325D3">
        <w:rPr>
          <w:rFonts w:ascii="Calibri" w:hAnsi="Calibri" w:cs="Calibri"/>
          <w:noProof/>
        </w:rPr>
        <mc:AlternateContent>
          <mc:Choice Requires="wps">
            <w:drawing>
              <wp:anchor distT="0" distB="0" distL="114300" distR="114300" simplePos="0" relativeHeight="251659264" behindDoc="0" locked="0" layoutInCell="1" allowOverlap="1" wp14:anchorId="28625216" wp14:editId="5EF3D348">
                <wp:simplePos x="0" y="0"/>
                <wp:positionH relativeFrom="column">
                  <wp:posOffset>1629410</wp:posOffset>
                </wp:positionH>
                <wp:positionV relativeFrom="paragraph">
                  <wp:posOffset>0</wp:posOffset>
                </wp:positionV>
                <wp:extent cx="1818005" cy="685800"/>
                <wp:effectExtent l="19050" t="0" r="29845" b="19050"/>
                <wp:wrapNone/>
                <wp:docPr id="2" name="Flèche : chevron 2"/>
                <wp:cNvGraphicFramePr/>
                <a:graphic xmlns:a="http://schemas.openxmlformats.org/drawingml/2006/main">
                  <a:graphicData uri="http://schemas.microsoft.com/office/word/2010/wordprocessingShape">
                    <wps:wsp>
                      <wps:cNvSpPr/>
                      <wps:spPr>
                        <a:xfrm>
                          <a:off x="0" y="0"/>
                          <a:ext cx="1818005" cy="685800"/>
                        </a:xfrm>
                        <a:prstGeom prst="chevron">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B59A19" w14:textId="77777777" w:rsidR="000E1C19" w:rsidRDefault="000E1C19" w:rsidP="000E1C19">
                            <w:pPr>
                              <w:pStyle w:val="Sansinterligne"/>
                              <w:jc w:val="center"/>
                              <w:rPr>
                                <w:b/>
                                <w:bCs/>
                              </w:rPr>
                            </w:pPr>
                            <w:r w:rsidRPr="006C22DB">
                              <w:rPr>
                                <w:b/>
                                <w:bCs/>
                              </w:rPr>
                              <w:t>Objectif stratégiqu</w:t>
                            </w:r>
                            <w:r>
                              <w:rPr>
                                <w:b/>
                                <w:bCs/>
                              </w:rPr>
                              <w:t>e</w:t>
                            </w:r>
                          </w:p>
                          <w:p w14:paraId="6DE59BB4" w14:textId="2B0E5A82" w:rsidR="000E1C19" w:rsidRPr="006C22DB" w:rsidRDefault="007E4FF6" w:rsidP="000E1C19">
                            <w:pPr>
                              <w:pStyle w:val="Sansinterligne"/>
                              <w:jc w:val="center"/>
                              <w:rPr>
                                <w:b/>
                                <w:bCs/>
                              </w:rPr>
                            </w:pPr>
                            <w:r>
                              <w:rPr>
                                <w:b/>
                                <w:bC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625216" id="Flèche : chevron 2" o:spid="_x0000_s1028" type="#_x0000_t55" style="position:absolute;left:0;text-align:left;margin-left:128.3pt;margin-top:0;width:143.1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" adj="17526" fillcolor="#4472c4 [3204]" strokecolor="#1f3763 [1604]" strokeweight="1pt">
                <v:textbox>
                  <w:txbxContent>
                    <w:p w14:paraId="4CB59A19" w14:textId="77777777" w:rsidR="000E1C19" w:rsidRDefault="000E1C19" w:rsidP="000E1C19">
                      <w:pPr>
                        <w:pStyle w:val="Sansinterligne"/>
                        <w:jc w:val="center"/>
                        <w:rPr>
                          <w:b/>
                          <w:bCs/>
                        </w:rPr>
                      </w:pPr>
                      <w:r w:rsidRPr="006C22DB">
                        <w:rPr>
                          <w:b/>
                          <w:bCs/>
                        </w:rPr>
                        <w:t>Objectif stratégiqu</w:t>
                      </w:r>
                      <w:r>
                        <w:rPr>
                          <w:b/>
                          <w:bCs/>
                        </w:rPr>
                        <w:t>e</w:t>
                      </w:r>
                    </w:p>
                    <w:p w14:paraId="6DE59BB4" w14:textId="2B0E5A82" w:rsidR="000E1C19" w:rsidRPr="006C22DB" w:rsidRDefault="007E4FF6" w:rsidP="000E1C19">
                      <w:pPr>
                        <w:pStyle w:val="Sansinterligne"/>
                        <w:jc w:val="center"/>
                        <w:rPr>
                          <w:b/>
                          <w:bCs/>
                        </w:rPr>
                      </w:pPr>
                      <w:r>
                        <w:rPr>
                          <w:b/>
                          <w:bCs/>
                        </w:rPr>
                        <w:t>2</w:t>
                      </w:r>
                    </w:p>
                  </w:txbxContent>
                </v:textbox>
              </v:shape>
            </w:pict>
          </mc:Fallback>
        </mc:AlternateContent>
      </w:r>
      <w:r w:rsidRPr="009325D3">
        <w:rPr>
          <w:rFonts w:ascii="Calibri" w:hAnsi="Calibri" w:cs="Calibri"/>
          <w:noProof/>
        </w:rPr>
        <mc:AlternateContent>
          <mc:Choice Requires="wps">
            <w:drawing>
              <wp:anchor distT="0" distB="0" distL="114300" distR="114300" simplePos="0" relativeHeight="251662336" behindDoc="0" locked="0" layoutInCell="1" allowOverlap="1" wp14:anchorId="4AFD6153" wp14:editId="758B83C4">
                <wp:simplePos x="0" y="0"/>
                <wp:positionH relativeFrom="column">
                  <wp:posOffset>18473</wp:posOffset>
                </wp:positionH>
                <wp:positionV relativeFrom="paragraph">
                  <wp:posOffset>0</wp:posOffset>
                </wp:positionV>
                <wp:extent cx="1852295" cy="685800"/>
                <wp:effectExtent l="19050" t="0" r="33655" b="19050"/>
                <wp:wrapNone/>
                <wp:docPr id="24" name="Flèche : chevron 24"/>
                <wp:cNvGraphicFramePr/>
                <a:graphic xmlns:a="http://schemas.openxmlformats.org/drawingml/2006/main">
                  <a:graphicData uri="http://schemas.microsoft.com/office/word/2010/wordprocessingShape">
                    <wps:wsp>
                      <wps:cNvSpPr/>
                      <wps:spPr>
                        <a:xfrm>
                          <a:off x="0" y="0"/>
                          <a:ext cx="1852295" cy="685800"/>
                        </a:xfrm>
                        <a:prstGeom prst="chevron">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4F83D4" w14:textId="77777777" w:rsidR="000E1C19" w:rsidRPr="00454DFF" w:rsidRDefault="000E1C19" w:rsidP="000E1C19">
                            <w:pPr>
                              <w:pStyle w:val="Sansinterligne"/>
                              <w:jc w:val="center"/>
                              <w:rPr>
                                <w:b/>
                                <w:bCs/>
                                <w:color w:val="FFFF00"/>
                              </w:rPr>
                            </w:pPr>
                            <w:r w:rsidRPr="00454DFF">
                              <w:rPr>
                                <w:b/>
                                <w:bCs/>
                                <w:color w:val="FFFF00"/>
                              </w:rPr>
                              <w:t>FEDER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D6153" id="Flèche : chevron 24" o:spid="_x0000_s1029" type="#_x0000_t55" style="position:absolute;left:0;text-align:left;margin-left:1.45pt;margin-top:0;width:145.8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" adj="17601" fillcolor="#002060" strokecolor="#1f3763 [1604]" strokeweight="1pt">
                <v:textbox>
                  <w:txbxContent>
                    <w:p w14:paraId="564F83D4" w14:textId="77777777" w:rsidR="000E1C19" w:rsidRPr="00454DFF" w:rsidRDefault="000E1C19" w:rsidP="000E1C19">
                      <w:pPr>
                        <w:pStyle w:val="Sansinterligne"/>
                        <w:jc w:val="center"/>
                        <w:rPr>
                          <w:b/>
                          <w:bCs/>
                          <w:color w:val="FFFF00"/>
                        </w:rPr>
                      </w:pPr>
                      <w:r w:rsidRPr="00454DFF">
                        <w:rPr>
                          <w:b/>
                          <w:bCs/>
                          <w:color w:val="FFFF00"/>
                        </w:rPr>
                        <w:t>FEDER</w:t>
                      </w:r>
                    </w:p>
                  </w:txbxContent>
                </v:textbox>
              </v:shape>
            </w:pict>
          </mc:Fallback>
        </mc:AlternateContent>
      </w:r>
    </w:p>
    <w:p w14:paraId="2752C63B" w14:textId="1F3E5BD3" w:rsidR="006822AF" w:rsidRDefault="006822AF" w:rsidP="006822AF">
      <w:pPr>
        <w:rPr>
          <w:rFonts w:ascii="Calibri" w:hAnsi="Calibri" w:cs="Calibri"/>
        </w:rPr>
      </w:pPr>
    </w:p>
    <w:p w14:paraId="36557B94" w14:textId="77777777" w:rsidR="006822AF" w:rsidRPr="009325D3" w:rsidRDefault="006822AF" w:rsidP="006822AF">
      <w:pPr>
        <w:rPr>
          <w:rFonts w:ascii="Calibri" w:hAnsi="Calibri" w:cs="Calibri"/>
        </w:rPr>
      </w:pPr>
    </w:p>
    <w:p w14:paraId="41BB1F6D" w14:textId="77777777" w:rsidR="00C241EE" w:rsidRPr="009325D3" w:rsidRDefault="00C241EE" w:rsidP="00C241EE">
      <w:pPr>
        <w:pStyle w:val="Sansinterligne"/>
        <w:jc w:val="both"/>
        <w:rPr>
          <w:rFonts w:ascii="Calibri" w:hAnsi="Calibri" w:cs="Calibri"/>
          <w:sz w:val="10"/>
          <w:szCs w:val="10"/>
        </w:rPr>
      </w:pPr>
    </w:p>
    <w:tbl>
      <w:tblPr>
        <w:tblStyle w:val="Grilledutableau"/>
        <w:tblW w:w="10475" w:type="dxa"/>
        <w:tblLook w:val="04A0" w:firstRow="1" w:lastRow="0" w:firstColumn="1" w:lastColumn="0" w:noHBand="0" w:noVBand="1"/>
      </w:tblPr>
      <w:tblGrid>
        <w:gridCol w:w="2614"/>
        <w:gridCol w:w="2614"/>
        <w:gridCol w:w="2614"/>
        <w:gridCol w:w="2633"/>
      </w:tblGrid>
      <w:tr w:rsidR="00C241EE" w:rsidRPr="009325D3" w14:paraId="6DF17F95" w14:textId="77777777" w:rsidTr="000B288C">
        <w:tc>
          <w:tcPr>
            <w:tcW w:w="10475" w:type="dxa"/>
            <w:gridSpan w:val="4"/>
            <w:tcBorders>
              <w:top w:val="single" w:sz="12" w:space="0" w:color="002060"/>
              <w:left w:val="single" w:sz="12" w:space="0" w:color="002060"/>
              <w:bottom w:val="single" w:sz="12" w:space="0" w:color="002060"/>
              <w:right w:val="single" w:sz="12" w:space="0" w:color="002060"/>
            </w:tcBorders>
            <w:shd w:val="clear" w:color="auto" w:fill="DEEAF6" w:themeFill="accent5" w:themeFillTint="33"/>
            <w:vAlign w:val="center"/>
          </w:tcPr>
          <w:p w14:paraId="42B16433" w14:textId="77777777" w:rsidR="00C241EE" w:rsidRPr="009325D3" w:rsidRDefault="00C241EE" w:rsidP="000B288C">
            <w:pPr>
              <w:pStyle w:val="Titre"/>
              <w:outlineLvl w:val="2"/>
              <w:rPr>
                <w:rFonts w:cs="Calibri"/>
              </w:rPr>
            </w:pPr>
            <w:bookmarkStart w:id="0" w:name="_Toc116053898"/>
            <w:r w:rsidRPr="009325D3">
              <w:rPr>
                <w:rFonts w:cs="Calibri"/>
              </w:rPr>
              <w:t>Action n°27</w:t>
            </w:r>
            <w:bookmarkEnd w:id="0"/>
          </w:p>
          <w:p w14:paraId="2A5DDCEF" w14:textId="77777777" w:rsidR="00C241EE" w:rsidRPr="009325D3" w:rsidRDefault="00C241EE" w:rsidP="000B288C">
            <w:pPr>
              <w:pStyle w:val="Titre"/>
              <w:outlineLvl w:val="2"/>
              <w:rPr>
                <w:rFonts w:cs="Calibri"/>
              </w:rPr>
            </w:pPr>
            <w:bookmarkStart w:id="1" w:name="_Toc116053899"/>
            <w:r w:rsidRPr="009325D3">
              <w:rPr>
                <w:rFonts w:cs="Calibri"/>
              </w:rPr>
              <w:t>Soutien et accompagnement des actions visant le report multimodal de marchandises vers des modes plus respectueux de l'environnement : fret, centres multimodaux de distribution urbaine</w:t>
            </w:r>
            <w:bookmarkEnd w:id="1"/>
          </w:p>
        </w:tc>
      </w:tr>
      <w:tr w:rsidR="00C241EE" w:rsidRPr="009325D3" w14:paraId="0DC5699D" w14:textId="77777777" w:rsidTr="000B288C">
        <w:tc>
          <w:tcPr>
            <w:tcW w:w="2614" w:type="dxa"/>
            <w:tcBorders>
              <w:top w:val="single" w:sz="2" w:space="0" w:color="002060"/>
              <w:left w:val="single" w:sz="12" w:space="0" w:color="002060"/>
              <w:bottom w:val="single" w:sz="12" w:space="0" w:color="002060"/>
              <w:right w:val="single" w:sz="2" w:space="0" w:color="002060"/>
            </w:tcBorders>
            <w:vAlign w:val="center"/>
          </w:tcPr>
          <w:p w14:paraId="64B87143" w14:textId="77777777" w:rsidR="00C241EE" w:rsidRPr="009325D3" w:rsidRDefault="00C241EE" w:rsidP="000B288C">
            <w:pPr>
              <w:pStyle w:val="Sansinterligne"/>
              <w:jc w:val="center"/>
              <w:rPr>
                <w:rFonts w:ascii="Calibri" w:hAnsi="Calibri" w:cs="Calibri"/>
                <w:b/>
                <w:bCs/>
                <w:sz w:val="20"/>
                <w:szCs w:val="20"/>
              </w:rPr>
            </w:pPr>
            <w:r w:rsidRPr="009325D3">
              <w:rPr>
                <w:rFonts w:ascii="Calibri" w:hAnsi="Calibri" w:cs="Calibri"/>
                <w:b/>
                <w:bCs/>
                <w:sz w:val="20"/>
                <w:szCs w:val="20"/>
              </w:rPr>
              <w:t>Dernière approbation</w:t>
            </w:r>
          </w:p>
        </w:tc>
        <w:tc>
          <w:tcPr>
            <w:tcW w:w="2614" w:type="dxa"/>
            <w:tcBorders>
              <w:top w:val="single" w:sz="12" w:space="0" w:color="002060"/>
              <w:left w:val="single" w:sz="2" w:space="0" w:color="002060"/>
              <w:bottom w:val="single" w:sz="12" w:space="0" w:color="002060"/>
              <w:right w:val="single" w:sz="12" w:space="0" w:color="002060"/>
            </w:tcBorders>
            <w:vAlign w:val="center"/>
          </w:tcPr>
          <w:p w14:paraId="12DDF42E" w14:textId="77777777" w:rsidR="00C241EE" w:rsidRPr="009325D3" w:rsidRDefault="00C241EE" w:rsidP="000B288C">
            <w:pPr>
              <w:pStyle w:val="Sansinterligne"/>
              <w:jc w:val="center"/>
              <w:rPr>
                <w:rFonts w:ascii="Calibri" w:hAnsi="Calibri" w:cs="Calibri"/>
                <w:sz w:val="20"/>
                <w:szCs w:val="20"/>
              </w:rPr>
            </w:pPr>
            <w:r w:rsidRPr="00502C0B">
              <w:rPr>
                <w:rFonts w:ascii="Calibri" w:hAnsi="Calibri" w:cs="Calibri"/>
                <w:sz w:val="20"/>
                <w:szCs w:val="20"/>
              </w:rPr>
              <w:t>18/11/2022</w:t>
            </w:r>
          </w:p>
        </w:tc>
        <w:tc>
          <w:tcPr>
            <w:tcW w:w="2614" w:type="dxa"/>
            <w:tcBorders>
              <w:top w:val="single" w:sz="12" w:space="0" w:color="002060"/>
              <w:left w:val="single" w:sz="12" w:space="0" w:color="002060"/>
              <w:bottom w:val="single" w:sz="12" w:space="0" w:color="002060"/>
              <w:right w:val="single" w:sz="2" w:space="0" w:color="002060"/>
            </w:tcBorders>
            <w:vAlign w:val="center"/>
          </w:tcPr>
          <w:p w14:paraId="67ED3E35" w14:textId="77777777" w:rsidR="00C241EE" w:rsidRPr="009325D3" w:rsidRDefault="00C241EE" w:rsidP="000B288C">
            <w:pPr>
              <w:pStyle w:val="Sansinterligne"/>
              <w:jc w:val="center"/>
              <w:rPr>
                <w:rFonts w:ascii="Calibri" w:hAnsi="Calibri" w:cs="Calibri"/>
                <w:b/>
                <w:bCs/>
                <w:sz w:val="20"/>
                <w:szCs w:val="20"/>
              </w:rPr>
            </w:pPr>
            <w:r w:rsidRPr="009325D3">
              <w:rPr>
                <w:rFonts w:ascii="Calibri" w:hAnsi="Calibri" w:cs="Calibri"/>
                <w:b/>
                <w:bCs/>
                <w:sz w:val="20"/>
                <w:szCs w:val="20"/>
              </w:rPr>
              <w:t>Correspondance PO 14-20</w:t>
            </w:r>
          </w:p>
        </w:tc>
        <w:tc>
          <w:tcPr>
            <w:tcW w:w="2633" w:type="dxa"/>
            <w:tcBorders>
              <w:top w:val="single" w:sz="12" w:space="0" w:color="002060"/>
              <w:left w:val="single" w:sz="2" w:space="0" w:color="002060"/>
              <w:bottom w:val="single" w:sz="12" w:space="0" w:color="002060"/>
              <w:right w:val="single" w:sz="12" w:space="0" w:color="002060"/>
            </w:tcBorders>
            <w:vAlign w:val="center"/>
          </w:tcPr>
          <w:p w14:paraId="13786B9F" w14:textId="77777777" w:rsidR="00C241EE" w:rsidRPr="009325D3" w:rsidRDefault="00C241EE" w:rsidP="000B288C">
            <w:pPr>
              <w:pStyle w:val="Sansinterligne"/>
              <w:jc w:val="center"/>
              <w:rPr>
                <w:rFonts w:ascii="Calibri" w:hAnsi="Calibri" w:cs="Calibri"/>
                <w:sz w:val="20"/>
                <w:szCs w:val="20"/>
              </w:rPr>
            </w:pPr>
            <w:r w:rsidRPr="009325D3">
              <w:rPr>
                <w:rFonts w:ascii="Calibri" w:hAnsi="Calibri" w:cs="Calibri"/>
                <w:sz w:val="20"/>
                <w:szCs w:val="20"/>
              </w:rPr>
              <w:t>Sans objet</w:t>
            </w:r>
          </w:p>
        </w:tc>
      </w:tr>
    </w:tbl>
    <w:p w14:paraId="69715E03" w14:textId="77777777" w:rsidR="00C241EE" w:rsidRDefault="00C241EE" w:rsidP="00C241EE">
      <w:pPr>
        <w:pStyle w:val="Sansinterligne"/>
        <w:jc w:val="both"/>
      </w:pPr>
    </w:p>
    <w:p w14:paraId="3D3078D9" w14:textId="77777777" w:rsidR="00C241EE" w:rsidRPr="004A7CAA" w:rsidRDefault="00C241EE" w:rsidP="00C241EE">
      <w:pPr>
        <w:pStyle w:val="Sansinterligne"/>
        <w:shd w:val="clear" w:color="auto" w:fill="DEEAF6" w:themeFill="accent5" w:themeFillTint="33"/>
        <w:jc w:val="both"/>
        <w:rPr>
          <w:b/>
          <w:bCs/>
          <w:color w:val="002060"/>
          <w:sz w:val="28"/>
          <w:szCs w:val="28"/>
        </w:rPr>
      </w:pPr>
      <w:r w:rsidRPr="004A7CAA">
        <w:rPr>
          <w:b/>
          <w:bCs/>
          <w:color w:val="FFFFFF" w:themeColor="background1"/>
          <w:sz w:val="28"/>
          <w:szCs w:val="28"/>
          <w:shd w:val="clear" w:color="auto" w:fill="002060"/>
        </w:rPr>
        <w:t>QUOI ?</w:t>
      </w:r>
      <w:r>
        <w:rPr>
          <w:b/>
          <w:bCs/>
          <w:color w:val="FFFFFF" w:themeColor="background1"/>
          <w:sz w:val="28"/>
          <w:szCs w:val="28"/>
          <w:shd w:val="clear" w:color="auto" w:fill="002060"/>
        </w:rPr>
        <w:t xml:space="preserve"> </w:t>
      </w:r>
      <w:r w:rsidRPr="004A7CAA">
        <w:rPr>
          <w:b/>
          <w:bCs/>
          <w:color w:val="002060"/>
          <w:sz w:val="28"/>
          <w:szCs w:val="28"/>
        </w:rPr>
        <w:t xml:space="preserve"> </w:t>
      </w:r>
      <w:r>
        <w:rPr>
          <w:b/>
          <w:bCs/>
          <w:color w:val="002060"/>
          <w:sz w:val="28"/>
          <w:szCs w:val="28"/>
        </w:rPr>
        <w:t>Contexte et o</w:t>
      </w:r>
      <w:r w:rsidRPr="004A7CAA">
        <w:rPr>
          <w:b/>
          <w:bCs/>
          <w:color w:val="002060"/>
          <w:sz w:val="28"/>
          <w:szCs w:val="28"/>
        </w:rPr>
        <w:t>bjectifs</w:t>
      </w:r>
    </w:p>
    <w:p w14:paraId="0798FBEB" w14:textId="77777777" w:rsidR="00C241EE" w:rsidRDefault="00C241EE" w:rsidP="00C241EE">
      <w:pPr>
        <w:pStyle w:val="Sansinterligne"/>
        <w:jc w:val="both"/>
      </w:pPr>
    </w:p>
    <w:p w14:paraId="13052D1B" w14:textId="77777777" w:rsidR="00C241EE" w:rsidRDefault="00C241EE" w:rsidP="00C241EE">
      <w:pPr>
        <w:pStyle w:val="Sansinterligne"/>
        <w:jc w:val="both"/>
      </w:pPr>
      <w:r>
        <w:t xml:space="preserve">La reconnexion de site industriels ou économiques aux infrastructures ferroviaires est un impératif pour assurer le report modal. En France, 20% du fret national est alimenté par de telles lignes capillaires, essentielles au développement de ce mode de transport. Elles permettent de reporter de la route sur le rail des millions de tonnes annuelles de marchandises.  </w:t>
      </w:r>
    </w:p>
    <w:p w14:paraId="48A02A44" w14:textId="77777777" w:rsidR="00C241EE" w:rsidRDefault="00C241EE" w:rsidP="00C241EE">
      <w:pPr>
        <w:pStyle w:val="Sansinterligne"/>
        <w:jc w:val="both"/>
      </w:pPr>
    </w:p>
    <w:p w14:paraId="43825B27" w14:textId="77777777" w:rsidR="00C241EE" w:rsidRDefault="00C241EE" w:rsidP="00C241EE">
      <w:pPr>
        <w:pStyle w:val="Sansinterligne"/>
        <w:jc w:val="both"/>
      </w:pPr>
      <w:r>
        <w:t xml:space="preserve">Les lignes capillaires constituent en Région Centre – Val de Loire un réseau de 330km, soit 10% du réseau national. Elles desservent environ 121 Installations Terminales Embranchées (ITE) dont 66 génèrent du trafic (dont 52 ITE céréalières). </w:t>
      </w:r>
    </w:p>
    <w:p w14:paraId="7AEFC8F2" w14:textId="77777777" w:rsidR="00C241EE" w:rsidRDefault="00C241EE" w:rsidP="00C241EE">
      <w:pPr>
        <w:pStyle w:val="Sansinterligne"/>
        <w:jc w:val="both"/>
      </w:pPr>
      <w:r>
        <w:t xml:space="preserve">Aujourd’hui l’état de ces infrastructures est préoccupant pour l’ensemble des lignes du fait des coûts élevés de leur entretien. </w:t>
      </w:r>
    </w:p>
    <w:p w14:paraId="5BFCEDB0" w14:textId="77777777" w:rsidR="00C241EE" w:rsidRDefault="00C241EE" w:rsidP="00C241EE">
      <w:pPr>
        <w:pStyle w:val="Sansinterligne"/>
        <w:jc w:val="both"/>
      </w:pPr>
      <w:r>
        <w:t>La remise à niveau des lignes capillaires FRET s’effectue dans la cadre de conventionnement avec l’Etat (CPER 2007-2013, CPER 2015-2020, Plan de relance 2021-2022, CPER 21-27 à venir)</w:t>
      </w:r>
    </w:p>
    <w:p w14:paraId="113769DC" w14:textId="77777777" w:rsidR="00C241EE" w:rsidRDefault="00C241EE" w:rsidP="00C241EE">
      <w:pPr>
        <w:pStyle w:val="Sansinterligne"/>
        <w:jc w:val="both"/>
      </w:pPr>
    </w:p>
    <w:p w14:paraId="15E4C623" w14:textId="77777777" w:rsidR="00C241EE" w:rsidRDefault="00C241EE" w:rsidP="00C241EE">
      <w:pPr>
        <w:pStyle w:val="Sansinterligne"/>
        <w:jc w:val="both"/>
      </w:pPr>
      <w:r>
        <w:t>La Région participe à la régénération des lignes capillaires fret à hauteur de 33% sous réserve que le/les chargeur(s) finance(nt) les travaux à un niveau équivalent.</w:t>
      </w:r>
    </w:p>
    <w:p w14:paraId="0491DC73" w14:textId="77777777" w:rsidR="00C241EE" w:rsidRDefault="00C241EE" w:rsidP="00C241EE">
      <w:pPr>
        <w:pStyle w:val="Sansinterligne"/>
        <w:jc w:val="both"/>
      </w:pPr>
      <w:r>
        <w:t>Le dernier tiers est à la charge de l’Etat/l’AFITF (</w:t>
      </w:r>
      <w:r w:rsidRPr="0061016D">
        <w:t xml:space="preserve">Agence de </w:t>
      </w:r>
      <w:r>
        <w:t>F</w:t>
      </w:r>
      <w:r w:rsidRPr="0061016D">
        <w:t xml:space="preserve">inancement des </w:t>
      </w:r>
      <w:r>
        <w:t>I</w:t>
      </w:r>
      <w:r w:rsidRPr="0061016D">
        <w:t xml:space="preserve">nfrastructures de </w:t>
      </w:r>
      <w:r>
        <w:t>T</w:t>
      </w:r>
      <w:r w:rsidRPr="0061016D">
        <w:t xml:space="preserve">ransport de </w:t>
      </w:r>
      <w:r>
        <w:t>France), parfois complété par les départements et/ou les EPCI.</w:t>
      </w:r>
    </w:p>
    <w:p w14:paraId="6AC2CFF0" w14:textId="77777777" w:rsidR="00C241EE" w:rsidRDefault="00C241EE" w:rsidP="00C241EE">
      <w:pPr>
        <w:pStyle w:val="Sansinterligne"/>
        <w:jc w:val="both"/>
      </w:pPr>
    </w:p>
    <w:p w14:paraId="4EB011D0" w14:textId="77777777" w:rsidR="00C241EE" w:rsidRDefault="00C241EE" w:rsidP="00C241EE">
      <w:pPr>
        <w:pStyle w:val="Sansinterligne"/>
        <w:jc w:val="both"/>
      </w:pPr>
      <w:r>
        <w:t>D’autres installations ferroviaires (chantier de transport combiné) peuvent également faire l’objet de financement de la Région (article 1512-1 code des transports).</w:t>
      </w:r>
    </w:p>
    <w:p w14:paraId="53A83A6B" w14:textId="77777777" w:rsidR="00C241EE" w:rsidRDefault="00C241EE" w:rsidP="00C241EE">
      <w:pPr>
        <w:pStyle w:val="Sansinterligne"/>
        <w:jc w:val="both"/>
      </w:pPr>
    </w:p>
    <w:p w14:paraId="77D5FD40" w14:textId="77777777" w:rsidR="00C241EE" w:rsidRPr="00B915E6" w:rsidRDefault="00C241EE" w:rsidP="00C241EE">
      <w:pPr>
        <w:pStyle w:val="Sansinterligne"/>
        <w:rPr>
          <w:b/>
          <w:bCs/>
        </w:rPr>
      </w:pPr>
      <w:r w:rsidRPr="00B915E6">
        <w:rPr>
          <w:b/>
          <w:bCs/>
          <w:color w:val="002060"/>
        </w:rPr>
        <w:t>Plusieurs opérations ou projets sont identifiés sur le territoire régional </w:t>
      </w:r>
      <w:r w:rsidRPr="00B915E6">
        <w:rPr>
          <w:b/>
          <w:bCs/>
        </w:rPr>
        <w:t xml:space="preserve">: </w:t>
      </w:r>
    </w:p>
    <w:p w14:paraId="67616D0B" w14:textId="77777777" w:rsidR="00C241EE" w:rsidRDefault="00C241EE" w:rsidP="00C241EE">
      <w:pPr>
        <w:pStyle w:val="Sansinterligne"/>
        <w:jc w:val="both"/>
      </w:pPr>
    </w:p>
    <w:p w14:paraId="1FA1354F" w14:textId="77777777" w:rsidR="00C241EE" w:rsidRDefault="00C241EE" w:rsidP="00C241EE">
      <w:pPr>
        <w:pStyle w:val="Sansinterligne"/>
        <w:jc w:val="both"/>
      </w:pPr>
      <w:r>
        <w:t xml:space="preserve">- Trois projets de </w:t>
      </w:r>
      <w:r w:rsidRPr="00980297">
        <w:rPr>
          <w:color w:val="002060"/>
        </w:rPr>
        <w:t xml:space="preserve">régénération de lignes </w:t>
      </w:r>
      <w:r>
        <w:t>inscrites au plan de relance régional, dont 2 en cours (conventions signées) :</w:t>
      </w:r>
    </w:p>
    <w:p w14:paraId="0686EA46" w14:textId="77777777" w:rsidR="00C241EE" w:rsidRDefault="00C241EE" w:rsidP="00C241EE">
      <w:pPr>
        <w:pStyle w:val="Sansinterligne"/>
        <w:ind w:left="426"/>
        <w:jc w:val="both"/>
      </w:pPr>
      <w:r>
        <w:t>. Les Aubrais-Orgères : convention signée en 2021 (Etat/Région/SNCF Réseau/ chargeurs),</w:t>
      </w:r>
    </w:p>
    <w:p w14:paraId="00D6395A" w14:textId="77777777" w:rsidR="00C241EE" w:rsidRDefault="00C241EE" w:rsidP="00C241EE">
      <w:pPr>
        <w:pStyle w:val="Sansinterligne"/>
        <w:ind w:left="426"/>
        <w:jc w:val="both"/>
      </w:pPr>
      <w:r>
        <w:t xml:space="preserve">. </w:t>
      </w:r>
      <w:proofErr w:type="spellStart"/>
      <w:r>
        <w:t>Auxy</w:t>
      </w:r>
      <w:proofErr w:type="spellEnd"/>
      <w:r>
        <w:t>-Montargis : convention signée en 2021 (Etat/Région/SNCF Réseau/chargeurs),</w:t>
      </w:r>
    </w:p>
    <w:p w14:paraId="3562F4D5" w14:textId="77777777" w:rsidR="00C241EE" w:rsidRDefault="00C241EE" w:rsidP="00C241EE">
      <w:pPr>
        <w:pStyle w:val="Sansinterligne"/>
        <w:ind w:left="426"/>
        <w:jc w:val="both"/>
      </w:pPr>
      <w:r>
        <w:t xml:space="preserve">. Gien – Nevoy : convention non encore signée </w:t>
      </w:r>
    </w:p>
    <w:p w14:paraId="30575FA1" w14:textId="77777777" w:rsidR="00C241EE" w:rsidRDefault="00C241EE" w:rsidP="00C241EE">
      <w:pPr>
        <w:pStyle w:val="Sansinterligne"/>
        <w:jc w:val="both"/>
      </w:pPr>
    </w:p>
    <w:p w14:paraId="22FC7709" w14:textId="77777777" w:rsidR="00C241EE" w:rsidRDefault="00C241EE" w:rsidP="00C241EE">
      <w:pPr>
        <w:pStyle w:val="Sansinterligne"/>
        <w:jc w:val="both"/>
      </w:pPr>
      <w:r>
        <w:t>- D’autres projets sont inscrits à la programmation du contrat de plan Etat Région 21-27 (en cours de négociation) :</w:t>
      </w:r>
    </w:p>
    <w:p w14:paraId="4A6F5C0D" w14:textId="77777777" w:rsidR="00C241EE" w:rsidRDefault="00C241EE" w:rsidP="00C241EE">
      <w:pPr>
        <w:pStyle w:val="Sansinterligne"/>
        <w:ind w:left="426"/>
        <w:jc w:val="both"/>
      </w:pPr>
      <w:r>
        <w:t>. Orléans- Châteauneuf (convention à renouveler),</w:t>
      </w:r>
    </w:p>
    <w:p w14:paraId="2D2B3903" w14:textId="77777777" w:rsidR="00C241EE" w:rsidRDefault="00C241EE" w:rsidP="00C241EE">
      <w:pPr>
        <w:pStyle w:val="Sansinterligne"/>
        <w:ind w:left="426"/>
        <w:jc w:val="both"/>
      </w:pPr>
      <w:r>
        <w:t>. Montargis-Quiers,</w:t>
      </w:r>
    </w:p>
    <w:p w14:paraId="6E36FD35" w14:textId="77777777" w:rsidR="00C241EE" w:rsidRDefault="00C241EE" w:rsidP="00C241EE">
      <w:pPr>
        <w:pStyle w:val="Sansinterligne"/>
        <w:ind w:left="426"/>
        <w:jc w:val="both"/>
      </w:pPr>
      <w:r>
        <w:t>. Châteauroux-Buzançais.</w:t>
      </w:r>
    </w:p>
    <w:p w14:paraId="4E9CC148" w14:textId="77777777" w:rsidR="00C241EE" w:rsidRDefault="00C241EE" w:rsidP="00C241EE">
      <w:pPr>
        <w:pStyle w:val="Sansinterligne"/>
      </w:pPr>
    </w:p>
    <w:p w14:paraId="6EAFB7B4" w14:textId="77777777" w:rsidR="00C241EE" w:rsidRDefault="00C241EE" w:rsidP="00C241EE">
      <w:pPr>
        <w:pStyle w:val="Sansinterligne"/>
        <w:jc w:val="both"/>
      </w:pPr>
      <w:r>
        <w:t>Enfin, dans le cadre d’un protocole avec SNCF Réseau, la Région étudie, avec une participation de l’Etat, le financement de la construction d’un chantier de transport combiné, basé sur le site « Les Vallées » sur le territoire d’Orléans Métropole.</w:t>
      </w:r>
    </w:p>
    <w:p w14:paraId="66275858" w14:textId="77777777" w:rsidR="00C241EE" w:rsidRDefault="00C241EE" w:rsidP="00C241EE">
      <w:pPr>
        <w:pStyle w:val="Sansinterligne"/>
        <w:jc w:val="both"/>
      </w:pPr>
    </w:p>
    <w:p w14:paraId="0E750DCD" w14:textId="77777777" w:rsidR="00C241EE" w:rsidRPr="004A7CAA" w:rsidRDefault="00C241EE" w:rsidP="00C241EE">
      <w:pPr>
        <w:pStyle w:val="Sansinterligne"/>
        <w:shd w:val="clear" w:color="auto" w:fill="DEEAF6" w:themeFill="accent5" w:themeFillTint="33"/>
        <w:jc w:val="both"/>
        <w:rPr>
          <w:b/>
          <w:bCs/>
          <w:color w:val="002060"/>
          <w:sz w:val="28"/>
          <w:szCs w:val="28"/>
        </w:rPr>
      </w:pPr>
      <w:r w:rsidRPr="004A7CAA">
        <w:rPr>
          <w:b/>
          <w:bCs/>
          <w:color w:val="FFFFFF" w:themeColor="background1"/>
          <w:sz w:val="28"/>
          <w:szCs w:val="28"/>
          <w:shd w:val="clear" w:color="auto" w:fill="002060"/>
        </w:rPr>
        <w:t xml:space="preserve">QUOI ? </w:t>
      </w:r>
      <w:r>
        <w:rPr>
          <w:b/>
          <w:bCs/>
          <w:color w:val="002060"/>
          <w:sz w:val="28"/>
          <w:szCs w:val="28"/>
        </w:rPr>
        <w:t xml:space="preserve"> Description des interventions soutenues dans le Programme </w:t>
      </w:r>
    </w:p>
    <w:p w14:paraId="3B9F1F2E" w14:textId="77777777" w:rsidR="00C241EE" w:rsidRDefault="00C241EE" w:rsidP="00C241EE">
      <w:pPr>
        <w:pStyle w:val="Sansinterligne"/>
        <w:jc w:val="both"/>
      </w:pPr>
    </w:p>
    <w:p w14:paraId="627BF9E8" w14:textId="77777777" w:rsidR="00C241EE" w:rsidRPr="00A878E8" w:rsidRDefault="00C241EE" w:rsidP="00C241EE">
      <w:pPr>
        <w:pStyle w:val="Sansinterligne"/>
        <w:jc w:val="both"/>
      </w:pPr>
      <w:r w:rsidRPr="0045181B">
        <w:rPr>
          <w:b/>
          <w:bCs/>
          <w:color w:val="002060"/>
        </w:rPr>
        <w:t>Soutien et accompagnement des actions visant le report multimodal de marchandises vers des modes plus respectueux de l'environnement</w:t>
      </w:r>
      <w:r w:rsidRPr="0045181B">
        <w:rPr>
          <w:color w:val="002060"/>
        </w:rPr>
        <w:t xml:space="preserve"> </w:t>
      </w:r>
      <w:r w:rsidRPr="00C12030">
        <w:rPr>
          <w:b/>
          <w:bCs/>
          <w:color w:val="002060"/>
        </w:rPr>
        <w:t>: fret,</w:t>
      </w:r>
      <w:r>
        <w:rPr>
          <w:b/>
          <w:bCs/>
          <w:color w:val="002060"/>
        </w:rPr>
        <w:t xml:space="preserve"> chantier de transport combiné,</w:t>
      </w:r>
      <w:r w:rsidRPr="00C12030">
        <w:rPr>
          <w:b/>
          <w:bCs/>
          <w:color w:val="002060"/>
        </w:rPr>
        <w:t xml:space="preserve"> centres multimodaux de distribution urbaine</w:t>
      </w:r>
      <w:r>
        <w:rPr>
          <w:b/>
          <w:bCs/>
          <w:color w:val="002060"/>
        </w:rPr>
        <w:t>, aires de transbordement</w:t>
      </w:r>
      <w:r w:rsidRPr="00C12030">
        <w:rPr>
          <w:b/>
          <w:bCs/>
          <w:color w:val="002060"/>
        </w:rPr>
        <w:t xml:space="preserve"> :</w:t>
      </w:r>
      <w:r w:rsidRPr="00C12030">
        <w:rPr>
          <w:color w:val="002060"/>
        </w:rPr>
        <w:t xml:space="preserve"> </w:t>
      </w:r>
      <w:r>
        <w:t xml:space="preserve">il s’agit notamment de rouvrir des lignes de fret capillaire, de les maintenir, permettant aux </w:t>
      </w:r>
      <w:r>
        <w:lastRenderedPageBreak/>
        <w:t xml:space="preserve">installations économiques de se raccorder au réseau ferroviaire structurant, pour assurer un report modal de leur flux de marchandises de la route vers le rail. </w:t>
      </w:r>
    </w:p>
    <w:p w14:paraId="492F1D16" w14:textId="77777777" w:rsidR="00C241EE" w:rsidRDefault="00C241EE" w:rsidP="00C241EE">
      <w:pPr>
        <w:pStyle w:val="Sansinterligne"/>
        <w:jc w:val="both"/>
      </w:pPr>
    </w:p>
    <w:p w14:paraId="2F7BACBC" w14:textId="77777777" w:rsidR="00C241EE" w:rsidRDefault="00C241EE" w:rsidP="00C241EE">
      <w:pPr>
        <w:pStyle w:val="Sansinterligne"/>
        <w:jc w:val="both"/>
      </w:pPr>
      <w:r w:rsidRPr="007C2FED">
        <w:t>Les opérations concernées sont les suivantes :</w:t>
      </w:r>
    </w:p>
    <w:p w14:paraId="369E76AC" w14:textId="77777777" w:rsidR="00C241EE" w:rsidRPr="00C12030" w:rsidRDefault="00C241EE" w:rsidP="00C241EE">
      <w:pPr>
        <w:pStyle w:val="Sansinterligne"/>
        <w:jc w:val="both"/>
        <w:rPr>
          <w:highlight w:val="yellow"/>
        </w:rPr>
      </w:pPr>
    </w:p>
    <w:p w14:paraId="783B7E2C" w14:textId="77777777" w:rsidR="00C241EE" w:rsidRPr="00C067F1" w:rsidRDefault="00C241EE" w:rsidP="00C241EE">
      <w:pPr>
        <w:pStyle w:val="Sansinterligne"/>
        <w:numPr>
          <w:ilvl w:val="0"/>
          <w:numId w:val="1"/>
        </w:numPr>
        <w:jc w:val="both"/>
      </w:pPr>
      <w:r w:rsidRPr="00C067F1">
        <w:t>Création de centre</w:t>
      </w:r>
      <w:r>
        <w:t>s</w:t>
      </w:r>
      <w:r w:rsidRPr="00C067F1">
        <w:t xml:space="preserve"> multimodaux de distribution urbaine (CMDU) : équipements logistiques proposant aux usagers et transporteurs une série de services basée sur l’organisation, la mutualisation et l’optimisation du premier et dernier kilomètre,</w:t>
      </w:r>
    </w:p>
    <w:p w14:paraId="1D644816" w14:textId="77777777" w:rsidR="00C241EE" w:rsidRPr="00C067F1" w:rsidRDefault="00C241EE" w:rsidP="00C241EE">
      <w:pPr>
        <w:pStyle w:val="Sansinterligne"/>
        <w:jc w:val="both"/>
      </w:pPr>
    </w:p>
    <w:p w14:paraId="2B2E2F43" w14:textId="77777777" w:rsidR="00C241EE" w:rsidRPr="005C2E40" w:rsidRDefault="00C241EE" w:rsidP="00C241EE">
      <w:pPr>
        <w:numPr>
          <w:ilvl w:val="0"/>
          <w:numId w:val="1"/>
        </w:numPr>
        <w:spacing w:after="0" w:line="240" w:lineRule="auto"/>
        <w:rPr>
          <w:rFonts w:asciiTheme="minorHAnsi" w:hAnsiTheme="minorHAnsi"/>
          <w:sz w:val="22"/>
        </w:rPr>
      </w:pPr>
      <w:r w:rsidRPr="005C2E40">
        <w:rPr>
          <w:rFonts w:asciiTheme="minorHAnsi" w:hAnsiTheme="minorHAnsi"/>
          <w:sz w:val="22"/>
        </w:rPr>
        <w:t>Création aux abords d’agglomérations d’aires de transbordement (chantier de transport combiné notamment permettant un report modal sur le mode ferroviaire pour les trajets de longue distance) pour des livraisons par des véhicules électriques plus adaptée à la circulation en milieu urbain,</w:t>
      </w:r>
    </w:p>
    <w:p w14:paraId="25D7EAD1" w14:textId="77777777" w:rsidR="00C241EE" w:rsidRPr="00C067F1" w:rsidRDefault="00C241EE" w:rsidP="00C241EE">
      <w:pPr>
        <w:pStyle w:val="Sansinterligne"/>
        <w:jc w:val="both"/>
      </w:pPr>
    </w:p>
    <w:p w14:paraId="675826B8" w14:textId="77777777" w:rsidR="00C241EE" w:rsidRDefault="00C241EE" w:rsidP="00C241EE">
      <w:pPr>
        <w:pStyle w:val="Sansinterligne"/>
        <w:numPr>
          <w:ilvl w:val="0"/>
          <w:numId w:val="1"/>
        </w:numPr>
        <w:jc w:val="both"/>
      </w:pPr>
      <w:r w:rsidRPr="00C067F1">
        <w:t>Réactivation de capillaire fret, pour permettre un report modal vers le ferroviaire, y compris grâce à un dernier kilomètre ferroviaire jusqu’à l’entreprise</w:t>
      </w:r>
      <w:r>
        <w:t>,</w:t>
      </w:r>
    </w:p>
    <w:p w14:paraId="3BD25608" w14:textId="77777777" w:rsidR="00C241EE" w:rsidRDefault="00C241EE" w:rsidP="00C241EE">
      <w:pPr>
        <w:pStyle w:val="Sansinterligne"/>
        <w:jc w:val="both"/>
      </w:pPr>
    </w:p>
    <w:p w14:paraId="0F3B4E0C" w14:textId="77777777" w:rsidR="00C241EE" w:rsidRPr="00815CC8" w:rsidRDefault="00C241EE" w:rsidP="00C241EE">
      <w:pPr>
        <w:pStyle w:val="Sansinterligne"/>
        <w:numPr>
          <w:ilvl w:val="0"/>
          <w:numId w:val="1"/>
        </w:numPr>
        <w:jc w:val="both"/>
      </w:pPr>
      <w:r w:rsidRPr="00815CC8">
        <w:t xml:space="preserve">Création d’un chantier de transport combiné, qui doit permettre de réaliser des opérations de transbordement Rail/Route et de réaliser du stockage pour répondre aux besoins d’accès au réseau d’entreprises tiers. </w:t>
      </w:r>
    </w:p>
    <w:p w14:paraId="712DCD5E" w14:textId="77777777" w:rsidR="00C241EE" w:rsidRPr="00C067F1" w:rsidRDefault="00C241EE" w:rsidP="00C241EE">
      <w:pPr>
        <w:pStyle w:val="Sansinterligne"/>
        <w:jc w:val="both"/>
      </w:pPr>
    </w:p>
    <w:p w14:paraId="052C7308" w14:textId="77777777" w:rsidR="00C241EE" w:rsidRDefault="00C241EE" w:rsidP="00C241EE">
      <w:pPr>
        <w:pStyle w:val="Sansinterligne"/>
        <w:jc w:val="both"/>
      </w:pPr>
      <w:r>
        <w:t xml:space="preserve">Le financement pourra porter sur : </w:t>
      </w:r>
    </w:p>
    <w:p w14:paraId="1545B255" w14:textId="77777777" w:rsidR="00C241EE" w:rsidRDefault="00C241EE" w:rsidP="00C241EE">
      <w:pPr>
        <w:pStyle w:val="Sansinterligne"/>
        <w:jc w:val="both"/>
      </w:pPr>
    </w:p>
    <w:p w14:paraId="2DD711BD" w14:textId="77777777" w:rsidR="00C241EE" w:rsidRDefault="00C241EE" w:rsidP="00C241EE">
      <w:pPr>
        <w:pStyle w:val="Sansinterligne"/>
        <w:jc w:val="both"/>
      </w:pPr>
      <w:r>
        <w:t>-</w:t>
      </w:r>
      <w:r>
        <w:tab/>
        <w:t>La régénération de voies (traverses, ballast, rail, appareils, de voies, ouvrages sous voies), ouvrage d’art…,</w:t>
      </w:r>
    </w:p>
    <w:p w14:paraId="2ED0559B" w14:textId="77777777" w:rsidR="00C241EE" w:rsidRDefault="00C241EE" w:rsidP="00C241EE">
      <w:pPr>
        <w:pStyle w:val="Sansinterligne"/>
        <w:jc w:val="both"/>
      </w:pPr>
      <w:r>
        <w:t>-</w:t>
      </w:r>
      <w:r>
        <w:tab/>
        <w:t>De nouvelles Installations ferroviaires (chantier de transport combiné…) et leur accès (voies, routes),</w:t>
      </w:r>
    </w:p>
    <w:p w14:paraId="0970DBE7" w14:textId="77777777" w:rsidR="00C241EE" w:rsidRDefault="00C241EE" w:rsidP="00C241EE">
      <w:pPr>
        <w:pStyle w:val="Sansinterligne"/>
        <w:jc w:val="both"/>
      </w:pPr>
      <w:r>
        <w:t>-</w:t>
      </w:r>
      <w:r>
        <w:tab/>
        <w:t>La rénovation ou la création de bâtiments.</w:t>
      </w:r>
    </w:p>
    <w:p w14:paraId="49B0D00F" w14:textId="77777777" w:rsidR="00C241EE" w:rsidRDefault="00C241EE" w:rsidP="00C241EE">
      <w:pPr>
        <w:pStyle w:val="Sansinterligne"/>
        <w:jc w:val="both"/>
        <w:rPr>
          <w:b/>
          <w:bCs/>
          <w:color w:val="002060"/>
        </w:rPr>
      </w:pPr>
    </w:p>
    <w:p w14:paraId="1F2AB08F" w14:textId="77777777" w:rsidR="00C241EE" w:rsidRPr="002C70D5" w:rsidRDefault="00C241EE" w:rsidP="00C241EE">
      <w:pPr>
        <w:pStyle w:val="Sansinterligne"/>
        <w:shd w:val="clear" w:color="auto" w:fill="B3FFEB"/>
        <w:jc w:val="both"/>
        <w:rPr>
          <w:b/>
          <w:bCs/>
          <w:sz w:val="28"/>
          <w:szCs w:val="28"/>
        </w:rPr>
      </w:pPr>
      <w:r w:rsidRPr="002C70D5">
        <w:rPr>
          <w:b/>
          <w:bCs/>
          <w:color w:val="FFFFFF" w:themeColor="background1"/>
          <w:sz w:val="28"/>
          <w:szCs w:val="28"/>
          <w:shd w:val="clear" w:color="auto" w:fill="00CC99"/>
        </w:rPr>
        <w:t xml:space="preserve">QUI ? </w:t>
      </w:r>
      <w:r w:rsidRPr="002C70D5">
        <w:rPr>
          <w:b/>
          <w:bCs/>
          <w:sz w:val="28"/>
          <w:szCs w:val="28"/>
        </w:rPr>
        <w:t xml:space="preserve"> </w:t>
      </w:r>
      <w:r w:rsidRPr="002C70D5">
        <w:rPr>
          <w:b/>
          <w:bCs/>
          <w:color w:val="002060"/>
          <w:sz w:val="28"/>
          <w:szCs w:val="28"/>
        </w:rPr>
        <w:t>Bénéficiaires potentiels</w:t>
      </w:r>
    </w:p>
    <w:p w14:paraId="43C42103" w14:textId="77777777" w:rsidR="00C241EE" w:rsidRDefault="00C241EE" w:rsidP="00C241EE">
      <w:pPr>
        <w:pStyle w:val="Sansinterligne"/>
        <w:jc w:val="both"/>
      </w:pPr>
    </w:p>
    <w:p w14:paraId="5633395E" w14:textId="77777777" w:rsidR="00C241EE" w:rsidRPr="002A6CE5" w:rsidRDefault="00C241EE" w:rsidP="00C241EE">
      <w:pPr>
        <w:pStyle w:val="Sansinterligne"/>
        <w:numPr>
          <w:ilvl w:val="0"/>
          <w:numId w:val="44"/>
        </w:numPr>
        <w:jc w:val="both"/>
      </w:pPr>
      <w:r w:rsidRPr="002A6CE5">
        <w:t>SNCF (Réseau) en tant que Maître d’ouvrage d’opérations</w:t>
      </w:r>
    </w:p>
    <w:p w14:paraId="062CBDB8" w14:textId="77777777" w:rsidR="00C241EE" w:rsidRDefault="00C241EE" w:rsidP="00C241EE">
      <w:pPr>
        <w:pStyle w:val="Sansinterligne"/>
        <w:numPr>
          <w:ilvl w:val="0"/>
          <w:numId w:val="44"/>
        </w:numPr>
        <w:jc w:val="both"/>
      </w:pPr>
      <w:r w:rsidRPr="002A6CE5">
        <w:t>Collectivités territoriales, leurs groupements et délégataires</w:t>
      </w:r>
    </w:p>
    <w:p w14:paraId="7D76E4E7" w14:textId="77777777" w:rsidR="00C241EE" w:rsidRDefault="00C241EE" w:rsidP="00C241EE">
      <w:pPr>
        <w:pStyle w:val="Sansinterligne"/>
        <w:jc w:val="both"/>
      </w:pPr>
    </w:p>
    <w:p w14:paraId="55386070" w14:textId="77777777" w:rsidR="00C241EE" w:rsidRDefault="00C241EE" w:rsidP="00C241EE">
      <w:pPr>
        <w:pStyle w:val="Sansinterligne"/>
        <w:shd w:val="clear" w:color="auto" w:fill="C5F0FF"/>
        <w:jc w:val="both"/>
        <w:rPr>
          <w:b/>
          <w:bCs/>
          <w:color w:val="002060"/>
          <w:sz w:val="28"/>
          <w:szCs w:val="28"/>
        </w:rPr>
      </w:pPr>
      <w:r w:rsidRPr="002C70D5">
        <w:rPr>
          <w:b/>
          <w:bCs/>
          <w:color w:val="FFFFFF" w:themeColor="background1"/>
          <w:sz w:val="28"/>
          <w:szCs w:val="28"/>
          <w:shd w:val="clear" w:color="auto" w:fill="0099CC"/>
        </w:rPr>
        <w:t>O</w:t>
      </w:r>
      <w:r w:rsidRPr="002C70D5">
        <w:rPr>
          <w:rFonts w:cstheme="minorHAnsi"/>
          <w:b/>
          <w:bCs/>
          <w:color w:val="FFFFFF" w:themeColor="background1"/>
          <w:sz w:val="28"/>
          <w:szCs w:val="28"/>
          <w:shd w:val="clear" w:color="auto" w:fill="0099CC"/>
        </w:rPr>
        <w:t>Ù</w:t>
      </w:r>
      <w:r w:rsidRPr="002C70D5">
        <w:rPr>
          <w:b/>
          <w:bCs/>
          <w:color w:val="FFFFFF" w:themeColor="background1"/>
          <w:sz w:val="28"/>
          <w:szCs w:val="28"/>
          <w:shd w:val="clear" w:color="auto" w:fill="0099CC"/>
        </w:rPr>
        <w:t> ?</w:t>
      </w:r>
      <w:r w:rsidRPr="002C70D5">
        <w:rPr>
          <w:b/>
          <w:bCs/>
          <w:sz w:val="28"/>
          <w:szCs w:val="28"/>
          <w:shd w:val="clear" w:color="auto" w:fill="0099CC"/>
        </w:rPr>
        <w:t xml:space="preserve"> </w:t>
      </w:r>
      <w:r w:rsidRPr="002C70D5">
        <w:rPr>
          <w:b/>
          <w:bCs/>
          <w:sz w:val="28"/>
          <w:szCs w:val="28"/>
        </w:rPr>
        <w:t xml:space="preserve"> </w:t>
      </w:r>
      <w:r w:rsidRPr="002C70D5">
        <w:rPr>
          <w:b/>
          <w:bCs/>
          <w:color w:val="002060"/>
          <w:sz w:val="28"/>
          <w:szCs w:val="28"/>
        </w:rPr>
        <w:t>Territoires cibles</w:t>
      </w:r>
    </w:p>
    <w:p w14:paraId="6ED87F87" w14:textId="77777777" w:rsidR="00C241EE" w:rsidRPr="00CD3230" w:rsidRDefault="00C241EE" w:rsidP="00C241EE">
      <w:pPr>
        <w:spacing w:beforeAutospacing="1" w:afterAutospacing="1"/>
        <w:rPr>
          <w:rFonts w:asciiTheme="minorHAnsi" w:hAnsiTheme="minorHAnsi" w:cstheme="minorHAnsi"/>
          <w:color w:val="000000" w:themeColor="text1"/>
          <w:sz w:val="22"/>
          <w:lang w:eastAsia="fr-FR"/>
        </w:rPr>
      </w:pPr>
      <w:r w:rsidRPr="00CD3230">
        <w:rPr>
          <w:rFonts w:asciiTheme="minorHAnsi" w:eastAsia="Times New Roman" w:hAnsiTheme="minorHAnsi" w:cstheme="minorHAnsi"/>
          <w:color w:val="000000" w:themeColor="text1"/>
          <w:sz w:val="22"/>
          <w:lang w:eastAsia="fr-FR"/>
        </w:rPr>
        <w:t>Capillaire fret desservi par des chargeurs (avec Installations terminales embranchées) en Région Centre-Val de Loire</w:t>
      </w:r>
    </w:p>
    <w:p w14:paraId="02A14BE4" w14:textId="77777777" w:rsidR="00C241EE" w:rsidRPr="002C70D5" w:rsidRDefault="00C241EE" w:rsidP="00C241EE">
      <w:pPr>
        <w:pStyle w:val="Sansinterligne"/>
        <w:shd w:val="clear" w:color="auto" w:fill="FBE4D5" w:themeFill="accent2" w:themeFillTint="33"/>
        <w:jc w:val="both"/>
        <w:rPr>
          <w:b/>
          <w:bCs/>
          <w:sz w:val="28"/>
          <w:szCs w:val="28"/>
        </w:rPr>
      </w:pPr>
      <w:r w:rsidRPr="00DB5B1E">
        <w:rPr>
          <w:b/>
          <w:bCs/>
          <w:color w:val="FFFFFF" w:themeColor="background1"/>
          <w:sz w:val="28"/>
          <w:szCs w:val="28"/>
          <w:shd w:val="clear" w:color="auto" w:fill="ED7D31" w:themeFill="accent2"/>
        </w:rPr>
        <w:t>QUEL</w:t>
      </w:r>
      <w:r>
        <w:rPr>
          <w:b/>
          <w:bCs/>
          <w:color w:val="FFFFFF" w:themeColor="background1"/>
          <w:sz w:val="28"/>
          <w:szCs w:val="28"/>
          <w:shd w:val="clear" w:color="auto" w:fill="ED7D31" w:themeFill="accent2"/>
        </w:rPr>
        <w:t xml:space="preserve">LES CONDITIONS </w:t>
      </w:r>
      <w:r w:rsidRPr="00DB5B1E">
        <w:rPr>
          <w:b/>
          <w:bCs/>
          <w:color w:val="FFFFFF" w:themeColor="background1"/>
          <w:sz w:val="28"/>
          <w:szCs w:val="28"/>
          <w:shd w:val="clear" w:color="auto" w:fill="ED7D31" w:themeFill="accent2"/>
        </w:rPr>
        <w:t>?</w:t>
      </w:r>
      <w:r w:rsidRPr="00DB5B1E">
        <w:rPr>
          <w:b/>
          <w:bCs/>
          <w:sz w:val="28"/>
          <w:szCs w:val="28"/>
          <w:shd w:val="clear" w:color="auto" w:fill="ED7D31" w:themeFill="accent2"/>
        </w:rPr>
        <w:t xml:space="preserve"> </w:t>
      </w:r>
      <w:r>
        <w:rPr>
          <w:b/>
          <w:bCs/>
          <w:sz w:val="28"/>
          <w:szCs w:val="28"/>
        </w:rPr>
        <w:t xml:space="preserve"> </w:t>
      </w:r>
      <w:r>
        <w:rPr>
          <w:b/>
          <w:bCs/>
          <w:color w:val="002060"/>
          <w:sz w:val="28"/>
          <w:szCs w:val="28"/>
        </w:rPr>
        <w:t>Critères de sélection des projets</w:t>
      </w:r>
    </w:p>
    <w:p w14:paraId="00E92866" w14:textId="77777777" w:rsidR="00C241EE" w:rsidRDefault="00C241EE" w:rsidP="00C241EE">
      <w:pPr>
        <w:pStyle w:val="Sansinterligne"/>
        <w:jc w:val="both"/>
      </w:pPr>
    </w:p>
    <w:p w14:paraId="0BBF77E0" w14:textId="77777777" w:rsidR="00C241EE" w:rsidRPr="0048782D" w:rsidRDefault="00C241EE" w:rsidP="00C241EE">
      <w:pPr>
        <w:pStyle w:val="Sansinterligne"/>
        <w:jc w:val="both"/>
      </w:pPr>
      <w:r w:rsidRPr="000D3EDE">
        <w:t>Volume de report multimodal généré par l’activité des chargeurs</w:t>
      </w:r>
    </w:p>
    <w:p w14:paraId="4B6673EE" w14:textId="77777777" w:rsidR="00C241EE" w:rsidRPr="0048782D" w:rsidRDefault="00C241EE" w:rsidP="00C241EE">
      <w:pPr>
        <w:pStyle w:val="Sansinterligne"/>
        <w:jc w:val="both"/>
      </w:pPr>
    </w:p>
    <w:p w14:paraId="347A5AF1" w14:textId="77777777" w:rsidR="00C241EE" w:rsidRPr="002C70D5" w:rsidRDefault="00C241EE" w:rsidP="00C241EE">
      <w:pPr>
        <w:pStyle w:val="Sansinterligne"/>
        <w:shd w:val="clear" w:color="auto" w:fill="FBE4D5" w:themeFill="accent2" w:themeFillTint="33"/>
        <w:jc w:val="both"/>
        <w:rPr>
          <w:b/>
          <w:bCs/>
          <w:sz w:val="28"/>
          <w:szCs w:val="28"/>
        </w:rPr>
      </w:pPr>
      <w:r w:rsidRPr="00DB5B1E">
        <w:rPr>
          <w:b/>
          <w:bCs/>
          <w:color w:val="FFFFFF" w:themeColor="background1"/>
          <w:sz w:val="28"/>
          <w:szCs w:val="28"/>
          <w:shd w:val="clear" w:color="auto" w:fill="ED7D31" w:themeFill="accent2"/>
        </w:rPr>
        <w:t>QUEL</w:t>
      </w:r>
      <w:r>
        <w:rPr>
          <w:b/>
          <w:bCs/>
          <w:color w:val="FFFFFF" w:themeColor="background1"/>
          <w:sz w:val="28"/>
          <w:szCs w:val="28"/>
          <w:shd w:val="clear" w:color="auto" w:fill="ED7D31" w:themeFill="accent2"/>
        </w:rPr>
        <w:t xml:space="preserve">LES CONDITIONS </w:t>
      </w:r>
      <w:r w:rsidRPr="00DB5B1E">
        <w:rPr>
          <w:b/>
          <w:bCs/>
          <w:color w:val="FFFFFF" w:themeColor="background1"/>
          <w:sz w:val="28"/>
          <w:szCs w:val="28"/>
          <w:shd w:val="clear" w:color="auto" w:fill="ED7D31" w:themeFill="accent2"/>
        </w:rPr>
        <w:t>?</w:t>
      </w:r>
      <w:r w:rsidRPr="00DB5B1E">
        <w:rPr>
          <w:b/>
          <w:bCs/>
          <w:sz w:val="28"/>
          <w:szCs w:val="28"/>
          <w:shd w:val="clear" w:color="auto" w:fill="ED7D31" w:themeFill="accent2"/>
        </w:rPr>
        <w:t xml:space="preserve"> </w:t>
      </w:r>
      <w:r>
        <w:rPr>
          <w:b/>
          <w:bCs/>
          <w:sz w:val="28"/>
          <w:szCs w:val="28"/>
        </w:rPr>
        <w:t xml:space="preserve"> </w:t>
      </w:r>
      <w:r>
        <w:rPr>
          <w:b/>
          <w:bCs/>
          <w:color w:val="002060"/>
          <w:sz w:val="28"/>
          <w:szCs w:val="28"/>
        </w:rPr>
        <w:t>Modalités de dépôt</w:t>
      </w:r>
    </w:p>
    <w:p w14:paraId="54FFA7AA" w14:textId="77777777" w:rsidR="00C241EE" w:rsidRDefault="00C241EE" w:rsidP="00C241EE">
      <w:pPr>
        <w:pStyle w:val="Sansinterligne"/>
        <w:jc w:val="both"/>
      </w:pPr>
    </w:p>
    <w:p w14:paraId="6ED015F9" w14:textId="77777777" w:rsidR="00C241EE" w:rsidRDefault="00C241EE" w:rsidP="00C241EE">
      <w:pPr>
        <w:pStyle w:val="Sansinterligne"/>
        <w:jc w:val="both"/>
      </w:pPr>
      <w:r>
        <w:t>Guichet (au fil de l’eau) et Appel à projets</w:t>
      </w:r>
    </w:p>
    <w:p w14:paraId="3FE7DCE8" w14:textId="77777777" w:rsidR="00C241EE" w:rsidRDefault="00C241EE" w:rsidP="00C241EE">
      <w:pPr>
        <w:pStyle w:val="Sansinterligne"/>
        <w:jc w:val="both"/>
      </w:pPr>
    </w:p>
    <w:p w14:paraId="3D12760A" w14:textId="77777777" w:rsidR="00C241EE" w:rsidRPr="002C70D5" w:rsidRDefault="00C241EE" w:rsidP="00C241EE">
      <w:pPr>
        <w:pStyle w:val="Sansinterligne"/>
        <w:shd w:val="clear" w:color="auto" w:fill="FBE4D5" w:themeFill="accent2" w:themeFillTint="33"/>
        <w:jc w:val="both"/>
        <w:rPr>
          <w:b/>
          <w:bCs/>
          <w:sz w:val="28"/>
          <w:szCs w:val="28"/>
        </w:rPr>
      </w:pPr>
      <w:r w:rsidRPr="00DB5B1E">
        <w:rPr>
          <w:b/>
          <w:bCs/>
          <w:color w:val="FFFFFF" w:themeColor="background1"/>
          <w:sz w:val="28"/>
          <w:szCs w:val="28"/>
          <w:shd w:val="clear" w:color="auto" w:fill="ED7D31" w:themeFill="accent2"/>
        </w:rPr>
        <w:t>QUEL</w:t>
      </w:r>
      <w:r>
        <w:rPr>
          <w:b/>
          <w:bCs/>
          <w:color w:val="FFFFFF" w:themeColor="background1"/>
          <w:sz w:val="28"/>
          <w:szCs w:val="28"/>
          <w:shd w:val="clear" w:color="auto" w:fill="ED7D31" w:themeFill="accent2"/>
        </w:rPr>
        <w:t xml:space="preserve">LES CONDITIONS </w:t>
      </w:r>
      <w:r w:rsidRPr="00DB5B1E">
        <w:rPr>
          <w:b/>
          <w:bCs/>
          <w:color w:val="FFFFFF" w:themeColor="background1"/>
          <w:sz w:val="28"/>
          <w:szCs w:val="28"/>
          <w:shd w:val="clear" w:color="auto" w:fill="ED7D31" w:themeFill="accent2"/>
        </w:rPr>
        <w:t>?</w:t>
      </w:r>
      <w:r w:rsidRPr="00DB5B1E">
        <w:rPr>
          <w:b/>
          <w:bCs/>
          <w:sz w:val="28"/>
          <w:szCs w:val="28"/>
          <w:shd w:val="clear" w:color="auto" w:fill="ED7D31" w:themeFill="accent2"/>
        </w:rPr>
        <w:t xml:space="preserve"> </w:t>
      </w:r>
      <w:r>
        <w:rPr>
          <w:b/>
          <w:bCs/>
          <w:sz w:val="28"/>
          <w:szCs w:val="28"/>
        </w:rPr>
        <w:t xml:space="preserve"> </w:t>
      </w:r>
      <w:r>
        <w:rPr>
          <w:b/>
          <w:bCs/>
          <w:color w:val="002060"/>
          <w:sz w:val="28"/>
          <w:szCs w:val="28"/>
        </w:rPr>
        <w:t>Conditions favorisantes</w:t>
      </w:r>
    </w:p>
    <w:p w14:paraId="08473B99" w14:textId="77777777" w:rsidR="00C241EE" w:rsidRDefault="00C241EE" w:rsidP="00C241EE">
      <w:pPr>
        <w:pStyle w:val="Sansinterligne"/>
        <w:jc w:val="both"/>
      </w:pPr>
    </w:p>
    <w:p w14:paraId="2FC60784" w14:textId="77777777" w:rsidR="00C241EE" w:rsidRPr="00061FC0" w:rsidRDefault="00C241EE" w:rsidP="00C241EE">
      <w:pPr>
        <w:pStyle w:val="Sansinterligne"/>
        <w:jc w:val="both"/>
        <w:rPr>
          <w:color w:val="000000" w:themeColor="text1"/>
        </w:rPr>
      </w:pPr>
      <w:r w:rsidRPr="00061FC0">
        <w:rPr>
          <w:color w:val="000000" w:themeColor="text1"/>
        </w:rPr>
        <w:t>Sans objet pour l’OS 2.8</w:t>
      </w:r>
    </w:p>
    <w:p w14:paraId="5B1B2FDD" w14:textId="77777777" w:rsidR="00C241EE" w:rsidRDefault="00C241EE" w:rsidP="00C241EE">
      <w:pPr>
        <w:pStyle w:val="Sansinterligne"/>
        <w:jc w:val="both"/>
      </w:pPr>
    </w:p>
    <w:p w14:paraId="3D08141E" w14:textId="77777777" w:rsidR="00C241EE" w:rsidRPr="002C70D5" w:rsidRDefault="00C241EE" w:rsidP="00C241EE">
      <w:pPr>
        <w:pStyle w:val="Sansinterligne"/>
        <w:shd w:val="clear" w:color="auto" w:fill="FBE4D5" w:themeFill="accent2" w:themeFillTint="33"/>
        <w:jc w:val="both"/>
        <w:rPr>
          <w:b/>
          <w:bCs/>
          <w:sz w:val="28"/>
          <w:szCs w:val="28"/>
        </w:rPr>
      </w:pPr>
      <w:r w:rsidRPr="00DB5B1E">
        <w:rPr>
          <w:b/>
          <w:bCs/>
          <w:color w:val="FFFFFF" w:themeColor="background1"/>
          <w:sz w:val="28"/>
          <w:szCs w:val="28"/>
          <w:shd w:val="clear" w:color="auto" w:fill="ED7D31" w:themeFill="accent2"/>
        </w:rPr>
        <w:t>QUEL</w:t>
      </w:r>
      <w:r>
        <w:rPr>
          <w:b/>
          <w:bCs/>
          <w:color w:val="FFFFFF" w:themeColor="background1"/>
          <w:sz w:val="28"/>
          <w:szCs w:val="28"/>
          <w:shd w:val="clear" w:color="auto" w:fill="ED7D31" w:themeFill="accent2"/>
        </w:rPr>
        <w:t xml:space="preserve">LES CONDITIONS </w:t>
      </w:r>
      <w:r w:rsidRPr="00DB5B1E">
        <w:rPr>
          <w:b/>
          <w:bCs/>
          <w:color w:val="FFFFFF" w:themeColor="background1"/>
          <w:sz w:val="28"/>
          <w:szCs w:val="28"/>
          <w:shd w:val="clear" w:color="auto" w:fill="ED7D31" w:themeFill="accent2"/>
        </w:rPr>
        <w:t>?</w:t>
      </w:r>
      <w:r w:rsidRPr="00DB5B1E">
        <w:rPr>
          <w:b/>
          <w:bCs/>
          <w:sz w:val="28"/>
          <w:szCs w:val="28"/>
          <w:shd w:val="clear" w:color="auto" w:fill="ED7D31" w:themeFill="accent2"/>
        </w:rPr>
        <w:t xml:space="preserve"> </w:t>
      </w:r>
      <w:r>
        <w:rPr>
          <w:b/>
          <w:bCs/>
          <w:sz w:val="28"/>
          <w:szCs w:val="28"/>
        </w:rPr>
        <w:t xml:space="preserve"> </w:t>
      </w:r>
      <w:r>
        <w:rPr>
          <w:b/>
          <w:bCs/>
          <w:color w:val="002060"/>
          <w:sz w:val="28"/>
          <w:szCs w:val="28"/>
        </w:rPr>
        <w:t>Principes horizontaux</w:t>
      </w:r>
    </w:p>
    <w:p w14:paraId="79F88CC6" w14:textId="77777777" w:rsidR="00C241EE" w:rsidRDefault="00C241EE" w:rsidP="00C241EE">
      <w:pPr>
        <w:pStyle w:val="Sansinterligne"/>
        <w:jc w:val="both"/>
      </w:pPr>
    </w:p>
    <w:p w14:paraId="4F3D8BE1" w14:textId="77777777" w:rsidR="00C241EE" w:rsidRPr="00BF3A35" w:rsidRDefault="00C241EE" w:rsidP="00C241EE">
      <w:pPr>
        <w:pStyle w:val="Sansinterligne"/>
        <w:jc w:val="both"/>
        <w:rPr>
          <w:color w:val="000000" w:themeColor="text1"/>
        </w:rPr>
      </w:pPr>
      <w:r w:rsidRPr="001F056F">
        <w:rPr>
          <w:color w:val="000000" w:themeColor="text1"/>
        </w:rPr>
        <w:t xml:space="preserve">Les opérations doivent être en cohérence avec les principes horizontaux suivants : égalité des chances, non-discrimination, égalité entre les hommes et </w:t>
      </w:r>
      <w:r>
        <w:rPr>
          <w:color w:val="000000" w:themeColor="text1"/>
        </w:rPr>
        <w:t>les femmes, développement durable, accessibilité aux personnes en situation de handicap et Charte des droits fondamentaux de l’UE.</w:t>
      </w:r>
    </w:p>
    <w:p w14:paraId="072C0BA3" w14:textId="77777777" w:rsidR="00C241EE" w:rsidRDefault="00C241EE" w:rsidP="00C241EE">
      <w:pPr>
        <w:pStyle w:val="Sansinterligne"/>
        <w:jc w:val="both"/>
      </w:pPr>
    </w:p>
    <w:p w14:paraId="3FC717F9" w14:textId="77777777" w:rsidR="00C241EE" w:rsidRDefault="00C241EE" w:rsidP="00C241EE">
      <w:pPr>
        <w:pStyle w:val="Sansinterligne"/>
        <w:jc w:val="both"/>
      </w:pPr>
    </w:p>
    <w:p w14:paraId="53EF884B" w14:textId="77777777" w:rsidR="00C241EE" w:rsidRDefault="00C241EE" w:rsidP="00C241EE">
      <w:pPr>
        <w:pStyle w:val="Sansinterligne"/>
        <w:jc w:val="both"/>
      </w:pPr>
    </w:p>
    <w:p w14:paraId="274C811C" w14:textId="77777777" w:rsidR="00C241EE" w:rsidRDefault="00C241EE" w:rsidP="00C241EE">
      <w:pPr>
        <w:pStyle w:val="Sansinterligne"/>
        <w:jc w:val="both"/>
      </w:pPr>
    </w:p>
    <w:p w14:paraId="3D01DD2C" w14:textId="77777777" w:rsidR="00C241EE" w:rsidRPr="002C70D5" w:rsidRDefault="00C241EE" w:rsidP="00C241EE">
      <w:pPr>
        <w:pStyle w:val="Sansinterligne"/>
        <w:shd w:val="clear" w:color="auto" w:fill="FBE4D5" w:themeFill="accent2" w:themeFillTint="33"/>
        <w:jc w:val="both"/>
        <w:rPr>
          <w:b/>
          <w:bCs/>
          <w:sz w:val="28"/>
          <w:szCs w:val="28"/>
        </w:rPr>
      </w:pPr>
      <w:r w:rsidRPr="00DB5B1E">
        <w:rPr>
          <w:b/>
          <w:bCs/>
          <w:color w:val="FFFFFF" w:themeColor="background1"/>
          <w:sz w:val="28"/>
          <w:szCs w:val="28"/>
          <w:shd w:val="clear" w:color="auto" w:fill="ED7D31" w:themeFill="accent2"/>
        </w:rPr>
        <w:t>QUEL</w:t>
      </w:r>
      <w:r>
        <w:rPr>
          <w:b/>
          <w:bCs/>
          <w:color w:val="FFFFFF" w:themeColor="background1"/>
          <w:sz w:val="28"/>
          <w:szCs w:val="28"/>
          <w:shd w:val="clear" w:color="auto" w:fill="ED7D31" w:themeFill="accent2"/>
        </w:rPr>
        <w:t xml:space="preserve">LES CONDITIONS </w:t>
      </w:r>
      <w:r w:rsidRPr="00DB5B1E">
        <w:rPr>
          <w:b/>
          <w:bCs/>
          <w:color w:val="FFFFFF" w:themeColor="background1"/>
          <w:sz w:val="28"/>
          <w:szCs w:val="28"/>
          <w:shd w:val="clear" w:color="auto" w:fill="ED7D31" w:themeFill="accent2"/>
        </w:rPr>
        <w:t>?</w:t>
      </w:r>
      <w:r w:rsidRPr="00DB5B1E">
        <w:rPr>
          <w:b/>
          <w:bCs/>
          <w:sz w:val="28"/>
          <w:szCs w:val="28"/>
          <w:shd w:val="clear" w:color="auto" w:fill="ED7D31" w:themeFill="accent2"/>
        </w:rPr>
        <w:t xml:space="preserve"> </w:t>
      </w:r>
      <w:r>
        <w:rPr>
          <w:b/>
          <w:bCs/>
          <w:sz w:val="28"/>
          <w:szCs w:val="28"/>
        </w:rPr>
        <w:t xml:space="preserve"> </w:t>
      </w:r>
      <w:r>
        <w:rPr>
          <w:b/>
          <w:bCs/>
          <w:color w:val="002060"/>
          <w:sz w:val="28"/>
          <w:szCs w:val="28"/>
        </w:rPr>
        <w:t>Respect des règles européennes</w:t>
      </w:r>
    </w:p>
    <w:p w14:paraId="0B8EBE33" w14:textId="77777777" w:rsidR="00C241EE" w:rsidRDefault="00C241EE" w:rsidP="00C241EE">
      <w:pPr>
        <w:pStyle w:val="Sansinterligne"/>
        <w:jc w:val="both"/>
      </w:pPr>
    </w:p>
    <w:p w14:paraId="7E235C80" w14:textId="77777777" w:rsidR="00C241EE" w:rsidRPr="00C57CAD" w:rsidRDefault="00C241EE" w:rsidP="00C241EE">
      <w:pPr>
        <w:pStyle w:val="Sansinterligne"/>
        <w:jc w:val="both"/>
        <w:rPr>
          <w:b/>
          <w:bCs/>
          <w:color w:val="002060"/>
        </w:rPr>
      </w:pPr>
      <w:r w:rsidRPr="00C57CAD">
        <w:rPr>
          <w:b/>
          <w:bCs/>
          <w:color w:val="002060"/>
        </w:rPr>
        <w:t xml:space="preserve">Régimes d’aides d’état notamment mobilisables :  </w:t>
      </w:r>
    </w:p>
    <w:p w14:paraId="2DA0A0A0" w14:textId="77777777" w:rsidR="00C241EE" w:rsidRDefault="00C241EE" w:rsidP="00C241EE">
      <w:pPr>
        <w:pStyle w:val="Sansinterligne"/>
        <w:numPr>
          <w:ilvl w:val="0"/>
          <w:numId w:val="1"/>
        </w:numPr>
        <w:jc w:val="both"/>
      </w:pPr>
      <w:r>
        <w:t>Règlement (UE) n° 2021/1237 de la Commission du 23 juillet 2021 modifiant le Règlement (UE) n° 651/2014 déclarant certaines catégories d’aides compatibles avec le marché intérieur en application des articles 107 et 108 du traité (Régime général d’exemption par catégorie (RGEC)) ;</w:t>
      </w:r>
    </w:p>
    <w:p w14:paraId="063ED300" w14:textId="77777777" w:rsidR="00C241EE" w:rsidRDefault="00C241EE" w:rsidP="00C241EE">
      <w:pPr>
        <w:pStyle w:val="Sansinterligne"/>
        <w:numPr>
          <w:ilvl w:val="0"/>
          <w:numId w:val="1"/>
        </w:numPr>
        <w:jc w:val="both"/>
      </w:pPr>
      <w:r>
        <w:t xml:space="preserve">Règlement (UE) n° 1407/2013 de la commission du 18 décembre 2013 relatif à l’application des articles 107 et 108 du traité sur le fonctionnement de l’Union européenne aux aides de minimis ; </w:t>
      </w:r>
    </w:p>
    <w:p w14:paraId="3331554F" w14:textId="77777777" w:rsidR="00C241EE" w:rsidRDefault="00C241EE" w:rsidP="00C241EE">
      <w:pPr>
        <w:pStyle w:val="Sansinterligne"/>
        <w:numPr>
          <w:ilvl w:val="0"/>
          <w:numId w:val="1"/>
        </w:numPr>
        <w:jc w:val="both"/>
      </w:pPr>
      <w:r>
        <w:t xml:space="preserve">Règlement UE n° 360/2012 de la commission du 25 avril 2012 relatif à l’application des articles 107 et 108 du traité de fonctionnement de l’Union européenne aux aides de minimis accordés à des entreprises fournissant des services d’intérêt économique général ; </w:t>
      </w:r>
    </w:p>
    <w:p w14:paraId="06A274EB" w14:textId="77777777" w:rsidR="00C241EE" w:rsidRDefault="00C241EE" w:rsidP="00C241EE">
      <w:pPr>
        <w:pStyle w:val="Sansinterligne"/>
        <w:numPr>
          <w:ilvl w:val="0"/>
          <w:numId w:val="1"/>
        </w:numPr>
        <w:jc w:val="both"/>
      </w:pPr>
      <w:r>
        <w:t>Communication de la Commission relative à la notion d</w:t>
      </w:r>
      <w:proofErr w:type="gramStart"/>
      <w:r>
        <w:t>’«</w:t>
      </w:r>
      <w:proofErr w:type="gramEnd"/>
      <w:r>
        <w:t xml:space="preserve"> aide d'État» visée à l'article 107, paragraphe 1, du traité sur le fonctionnement de l'Union européenne, C/2016/2946, OJ C 262, 19.7.2016, p. 1–50 .</w:t>
      </w:r>
    </w:p>
    <w:p w14:paraId="216C1E36" w14:textId="77777777" w:rsidR="00C241EE" w:rsidRDefault="00C241EE" w:rsidP="00C241EE">
      <w:pPr>
        <w:pStyle w:val="Sansinterligne"/>
        <w:jc w:val="both"/>
      </w:pPr>
      <w:r>
        <w:t xml:space="preserve">  </w:t>
      </w:r>
    </w:p>
    <w:p w14:paraId="4BCFB1FE" w14:textId="77777777" w:rsidR="00C241EE" w:rsidRPr="00C57CAD" w:rsidRDefault="00C241EE" w:rsidP="00C241EE">
      <w:pPr>
        <w:pStyle w:val="Sansinterligne"/>
        <w:jc w:val="both"/>
        <w:rPr>
          <w:b/>
          <w:bCs/>
          <w:color w:val="002060"/>
        </w:rPr>
      </w:pPr>
      <w:r w:rsidRPr="00C57CAD">
        <w:rPr>
          <w:b/>
          <w:bCs/>
          <w:color w:val="002060"/>
        </w:rPr>
        <w:t xml:space="preserve">Eligibilité des dépenses : </w:t>
      </w:r>
    </w:p>
    <w:p w14:paraId="79EC35D6" w14:textId="77777777" w:rsidR="00C241EE" w:rsidRDefault="00C241EE" w:rsidP="00C241EE">
      <w:pPr>
        <w:pStyle w:val="Sansinterligne"/>
        <w:numPr>
          <w:ilvl w:val="0"/>
          <w:numId w:val="1"/>
        </w:numPr>
        <w:jc w:val="both"/>
      </w:pPr>
      <w:r>
        <w:t>Règlement (UE, Euratom) n°2018/1046 relatif aux règles financières applicables au budget général de l’Union, dit Omnibus ;</w:t>
      </w:r>
    </w:p>
    <w:p w14:paraId="75DA4767" w14:textId="77777777" w:rsidR="00C241EE" w:rsidRDefault="00C241EE" w:rsidP="00C241EE">
      <w:pPr>
        <w:pStyle w:val="Sansinterligne"/>
        <w:numPr>
          <w:ilvl w:val="0"/>
          <w:numId w:val="1"/>
        </w:numPr>
        <w:jc w:val="both"/>
      </w:pPr>
      <w:r w:rsidRPr="00170680">
        <w:t>Décret n</w:t>
      </w:r>
      <w:r w:rsidRPr="003B42C2">
        <w:t xml:space="preserve">°2022-608 du 21 avril </w:t>
      </w:r>
      <w:r>
        <w:t xml:space="preserve">2022 fixant les règles nationales d’éligibilité des dépenses dans le cadre des programmes cofinancés par les fonds européens structurels et d’investissement (FEDER, FSE +, FEADER, FEAMP) pour la période 2021-2027 ; </w:t>
      </w:r>
    </w:p>
    <w:p w14:paraId="51F23394" w14:textId="77777777" w:rsidR="00C241EE" w:rsidRDefault="00C241EE" w:rsidP="00C241EE">
      <w:pPr>
        <w:pStyle w:val="Sansinterligne"/>
        <w:jc w:val="both"/>
      </w:pPr>
      <w:r>
        <w:t xml:space="preserve">  </w:t>
      </w:r>
    </w:p>
    <w:p w14:paraId="53B183AA" w14:textId="77777777" w:rsidR="00C241EE" w:rsidRPr="00C57CAD" w:rsidRDefault="00C241EE" w:rsidP="00C241EE">
      <w:pPr>
        <w:pStyle w:val="Sansinterligne"/>
        <w:jc w:val="both"/>
        <w:rPr>
          <w:b/>
          <w:bCs/>
          <w:color w:val="002060"/>
        </w:rPr>
      </w:pPr>
      <w:r w:rsidRPr="00C57CAD">
        <w:rPr>
          <w:b/>
          <w:bCs/>
          <w:color w:val="002060"/>
        </w:rPr>
        <w:t xml:space="preserve">Commande publique : </w:t>
      </w:r>
    </w:p>
    <w:p w14:paraId="5C14F4DC" w14:textId="77777777" w:rsidR="00C241EE" w:rsidRDefault="00C241EE" w:rsidP="00C241EE">
      <w:pPr>
        <w:pStyle w:val="Sansinterligne"/>
        <w:numPr>
          <w:ilvl w:val="0"/>
          <w:numId w:val="1"/>
        </w:numPr>
        <w:jc w:val="both"/>
      </w:pPr>
      <w:r>
        <w:t xml:space="preserve">Code de la Commande Publique ; </w:t>
      </w:r>
    </w:p>
    <w:p w14:paraId="2B028F8A" w14:textId="77777777" w:rsidR="00C241EE" w:rsidRDefault="00C241EE" w:rsidP="00C241EE">
      <w:pPr>
        <w:pStyle w:val="Sansinterligne"/>
        <w:numPr>
          <w:ilvl w:val="0"/>
          <w:numId w:val="1"/>
        </w:numPr>
        <w:jc w:val="both"/>
      </w:pPr>
      <w:r>
        <w:t xml:space="preserve">Ordonnance n°2018-1074 du 26 novembre 2018 relative aux marchés publics ;  </w:t>
      </w:r>
    </w:p>
    <w:p w14:paraId="1C495F07" w14:textId="77777777" w:rsidR="00C241EE" w:rsidRDefault="00C241EE" w:rsidP="00C241EE">
      <w:pPr>
        <w:pStyle w:val="Sansinterligne"/>
        <w:numPr>
          <w:ilvl w:val="0"/>
          <w:numId w:val="1"/>
        </w:numPr>
        <w:jc w:val="both"/>
      </w:pPr>
      <w:r>
        <w:t>Décret n°2018-1075 du 3 décembre 2018 relatif aux marchés publics.</w:t>
      </w:r>
    </w:p>
    <w:p w14:paraId="45CF445E" w14:textId="77777777" w:rsidR="00C241EE" w:rsidRDefault="00C241EE" w:rsidP="00C241EE">
      <w:pPr>
        <w:pStyle w:val="Sansinterligne"/>
        <w:jc w:val="both"/>
      </w:pPr>
    </w:p>
    <w:p w14:paraId="3B7EA629" w14:textId="77777777" w:rsidR="00C241EE" w:rsidRPr="002C70D5" w:rsidRDefault="00C241EE" w:rsidP="00C241EE">
      <w:pPr>
        <w:pStyle w:val="Sansinterligne"/>
        <w:shd w:val="clear" w:color="auto" w:fill="E2EFD9" w:themeFill="accent6" w:themeFillTint="33"/>
        <w:jc w:val="both"/>
        <w:rPr>
          <w:b/>
          <w:bCs/>
          <w:sz w:val="28"/>
          <w:szCs w:val="28"/>
        </w:rPr>
      </w:pPr>
      <w:r>
        <w:rPr>
          <w:b/>
          <w:bCs/>
          <w:color w:val="FFFFFF" w:themeColor="background1"/>
          <w:sz w:val="28"/>
          <w:szCs w:val="28"/>
          <w:shd w:val="clear" w:color="auto" w:fill="70AD47" w:themeFill="accent6"/>
        </w:rPr>
        <w:t>MODALIT</w:t>
      </w:r>
      <w:r w:rsidRPr="00A97870">
        <w:rPr>
          <w:b/>
          <w:bCs/>
          <w:color w:val="FFFFFF" w:themeColor="background1"/>
          <w:sz w:val="28"/>
          <w:szCs w:val="28"/>
          <w:shd w:val="clear" w:color="auto" w:fill="70AD47" w:themeFill="accent6"/>
        </w:rPr>
        <w:t>É</w:t>
      </w:r>
      <w:r>
        <w:rPr>
          <w:b/>
          <w:bCs/>
          <w:color w:val="FFFFFF" w:themeColor="background1"/>
          <w:sz w:val="28"/>
          <w:szCs w:val="28"/>
          <w:shd w:val="clear" w:color="auto" w:fill="70AD47" w:themeFill="accent6"/>
        </w:rPr>
        <w:t xml:space="preserve">S DE FINANCEMENT </w:t>
      </w:r>
      <w:r w:rsidRPr="007C7EF5">
        <w:rPr>
          <w:b/>
          <w:bCs/>
          <w:color w:val="FFFFFF" w:themeColor="background1"/>
          <w:sz w:val="28"/>
          <w:szCs w:val="28"/>
          <w:shd w:val="clear" w:color="auto" w:fill="70AD47" w:themeFill="accent6"/>
        </w:rPr>
        <w:t>?</w:t>
      </w:r>
      <w:r w:rsidRPr="007C7EF5">
        <w:rPr>
          <w:b/>
          <w:bCs/>
          <w:sz w:val="28"/>
          <w:szCs w:val="28"/>
          <w:shd w:val="clear" w:color="auto" w:fill="70AD47" w:themeFill="accent6"/>
        </w:rPr>
        <w:t xml:space="preserve"> </w:t>
      </w:r>
      <w:r>
        <w:rPr>
          <w:b/>
          <w:bCs/>
          <w:sz w:val="28"/>
          <w:szCs w:val="28"/>
        </w:rPr>
        <w:t xml:space="preserve"> </w:t>
      </w:r>
      <w:r w:rsidRPr="002C70D5">
        <w:rPr>
          <w:b/>
          <w:bCs/>
          <w:color w:val="002060"/>
          <w:sz w:val="28"/>
          <w:szCs w:val="28"/>
        </w:rPr>
        <w:t>Dépenses éligibles</w:t>
      </w:r>
    </w:p>
    <w:p w14:paraId="04B94ED6" w14:textId="77777777" w:rsidR="00C241EE" w:rsidRDefault="00C241EE" w:rsidP="00C241EE">
      <w:pPr>
        <w:pStyle w:val="Sansinterligne"/>
        <w:jc w:val="both"/>
      </w:pPr>
    </w:p>
    <w:p w14:paraId="54121659" w14:textId="77777777" w:rsidR="00C241EE" w:rsidRDefault="00C241EE" w:rsidP="00C241EE">
      <w:pPr>
        <w:pStyle w:val="Sansinterligne"/>
        <w:numPr>
          <w:ilvl w:val="0"/>
          <w:numId w:val="45"/>
        </w:numPr>
        <w:jc w:val="both"/>
      </w:pPr>
      <w:r>
        <w:t>Dépenses d’investissement, d’équipement,</w:t>
      </w:r>
    </w:p>
    <w:p w14:paraId="54F02D6C" w14:textId="77777777" w:rsidR="00C241EE" w:rsidRDefault="00C241EE" w:rsidP="00C241EE">
      <w:pPr>
        <w:pStyle w:val="Sansinterligne"/>
        <w:numPr>
          <w:ilvl w:val="0"/>
          <w:numId w:val="45"/>
        </w:numPr>
        <w:jc w:val="both"/>
      </w:pPr>
      <w:r w:rsidRPr="00982056">
        <w:t>Acquisition</w:t>
      </w:r>
      <w:r>
        <w:t xml:space="preserve"> et </w:t>
      </w:r>
      <w:r w:rsidRPr="00982056">
        <w:t>démolition de bâtiments</w:t>
      </w:r>
      <w:r>
        <w:t>,</w:t>
      </w:r>
    </w:p>
    <w:p w14:paraId="1D0B60F4" w14:textId="77777777" w:rsidR="00C241EE" w:rsidRDefault="00C241EE" w:rsidP="00C241EE">
      <w:pPr>
        <w:pStyle w:val="Sansinterligne"/>
        <w:numPr>
          <w:ilvl w:val="0"/>
          <w:numId w:val="45"/>
        </w:numPr>
        <w:jc w:val="both"/>
      </w:pPr>
      <w:r>
        <w:t>Dépenses de prestations externes.</w:t>
      </w:r>
    </w:p>
    <w:p w14:paraId="58932683" w14:textId="77777777" w:rsidR="00C241EE" w:rsidRDefault="00C241EE" w:rsidP="00C241EE">
      <w:pPr>
        <w:pStyle w:val="Sansinterligne"/>
        <w:ind w:left="720"/>
        <w:jc w:val="both"/>
      </w:pPr>
    </w:p>
    <w:p w14:paraId="2039606F" w14:textId="77777777" w:rsidR="00C241EE" w:rsidRPr="002C70D5" w:rsidRDefault="00C241EE" w:rsidP="00C241EE">
      <w:pPr>
        <w:pStyle w:val="Sansinterligne"/>
        <w:shd w:val="clear" w:color="auto" w:fill="E2EFD9" w:themeFill="accent6" w:themeFillTint="33"/>
        <w:jc w:val="both"/>
        <w:rPr>
          <w:b/>
          <w:bCs/>
          <w:sz w:val="28"/>
          <w:szCs w:val="28"/>
        </w:rPr>
      </w:pPr>
      <w:r>
        <w:rPr>
          <w:b/>
          <w:bCs/>
          <w:color w:val="FFFFFF" w:themeColor="background1"/>
          <w:sz w:val="28"/>
          <w:szCs w:val="28"/>
          <w:shd w:val="clear" w:color="auto" w:fill="70AD47" w:themeFill="accent6"/>
        </w:rPr>
        <w:t>MODALIT</w:t>
      </w:r>
      <w:r w:rsidRPr="00A97870">
        <w:rPr>
          <w:b/>
          <w:bCs/>
          <w:color w:val="FFFFFF" w:themeColor="background1"/>
          <w:sz w:val="28"/>
          <w:szCs w:val="28"/>
          <w:shd w:val="clear" w:color="auto" w:fill="70AD47" w:themeFill="accent6"/>
        </w:rPr>
        <w:t>É</w:t>
      </w:r>
      <w:r>
        <w:rPr>
          <w:b/>
          <w:bCs/>
          <w:color w:val="FFFFFF" w:themeColor="background1"/>
          <w:sz w:val="28"/>
          <w:szCs w:val="28"/>
          <w:shd w:val="clear" w:color="auto" w:fill="70AD47" w:themeFill="accent6"/>
        </w:rPr>
        <w:t>S DE FINANCEMENT</w:t>
      </w:r>
      <w:r w:rsidRPr="007C7EF5">
        <w:rPr>
          <w:b/>
          <w:bCs/>
          <w:color w:val="FFFFFF" w:themeColor="background1"/>
          <w:sz w:val="28"/>
          <w:szCs w:val="28"/>
          <w:shd w:val="clear" w:color="auto" w:fill="70AD47" w:themeFill="accent6"/>
        </w:rPr>
        <w:t> ?</w:t>
      </w:r>
      <w:r w:rsidRPr="007C7EF5">
        <w:rPr>
          <w:b/>
          <w:bCs/>
          <w:sz w:val="28"/>
          <w:szCs w:val="28"/>
          <w:shd w:val="clear" w:color="auto" w:fill="70AD47" w:themeFill="accent6"/>
        </w:rPr>
        <w:t xml:space="preserve"> </w:t>
      </w:r>
      <w:r>
        <w:rPr>
          <w:b/>
          <w:bCs/>
          <w:sz w:val="28"/>
          <w:szCs w:val="28"/>
        </w:rPr>
        <w:t xml:space="preserve"> </w:t>
      </w:r>
      <w:r>
        <w:rPr>
          <w:b/>
          <w:bCs/>
          <w:color w:val="002060"/>
          <w:sz w:val="28"/>
          <w:szCs w:val="28"/>
        </w:rPr>
        <w:t>Options de coûts simplifiés</w:t>
      </w:r>
    </w:p>
    <w:p w14:paraId="54354AEE" w14:textId="77777777" w:rsidR="00C241EE" w:rsidRDefault="00C241EE" w:rsidP="00C241EE">
      <w:pPr>
        <w:pStyle w:val="Sansinterligne"/>
        <w:jc w:val="both"/>
      </w:pPr>
    </w:p>
    <w:tbl>
      <w:tblPr>
        <w:tblStyle w:val="Grilledutableau"/>
        <w:tblW w:w="10495" w:type="dxa"/>
        <w:tblInd w:w="-5" w:type="dxa"/>
        <w:tblLook w:val="04A0" w:firstRow="1" w:lastRow="0" w:firstColumn="1" w:lastColumn="0" w:noHBand="0" w:noVBand="1"/>
      </w:tblPr>
      <w:tblGrid>
        <w:gridCol w:w="284"/>
        <w:gridCol w:w="501"/>
        <w:gridCol w:w="8287"/>
        <w:gridCol w:w="1423"/>
      </w:tblGrid>
      <w:tr w:rsidR="00C241EE" w14:paraId="6DB7F41E" w14:textId="77777777" w:rsidTr="000B288C">
        <w:tc>
          <w:tcPr>
            <w:tcW w:w="785" w:type="dxa"/>
            <w:gridSpan w:val="2"/>
            <w:tcBorders>
              <w:top w:val="nil"/>
              <w:left w:val="nil"/>
              <w:right w:val="nil"/>
            </w:tcBorders>
          </w:tcPr>
          <w:p w14:paraId="1B8866AD" w14:textId="77777777" w:rsidR="00C241EE" w:rsidRDefault="00C241EE" w:rsidP="000B288C">
            <w:pPr>
              <w:pStyle w:val="Sansinterligne"/>
              <w:jc w:val="both"/>
            </w:pPr>
          </w:p>
        </w:tc>
        <w:tc>
          <w:tcPr>
            <w:tcW w:w="8287" w:type="dxa"/>
            <w:tcBorders>
              <w:top w:val="nil"/>
              <w:left w:val="nil"/>
            </w:tcBorders>
            <w:vAlign w:val="center"/>
          </w:tcPr>
          <w:p w14:paraId="5AD7C8FF" w14:textId="77777777" w:rsidR="00C241EE" w:rsidRPr="00903E4B" w:rsidRDefault="00C241EE" w:rsidP="000B288C">
            <w:pPr>
              <w:pStyle w:val="Sansinterligne"/>
              <w:rPr>
                <w:b/>
                <w:bCs/>
                <w:color w:val="002060"/>
              </w:rPr>
            </w:pPr>
          </w:p>
        </w:tc>
        <w:tc>
          <w:tcPr>
            <w:tcW w:w="1423" w:type="dxa"/>
            <w:tcBorders>
              <w:left w:val="nil"/>
            </w:tcBorders>
            <w:vAlign w:val="center"/>
          </w:tcPr>
          <w:p w14:paraId="2346C9C9" w14:textId="77777777" w:rsidR="00C241EE" w:rsidRPr="00903E4B" w:rsidRDefault="00C241EE" w:rsidP="000B288C">
            <w:pPr>
              <w:pStyle w:val="Sansinterligne"/>
              <w:jc w:val="center"/>
              <w:rPr>
                <w:b/>
                <w:bCs/>
                <w:color w:val="002060"/>
              </w:rPr>
            </w:pPr>
            <w:r>
              <w:rPr>
                <w:b/>
                <w:bCs/>
                <w:color w:val="002060"/>
              </w:rPr>
              <w:t>Mobilisable sur l’action</w:t>
            </w:r>
          </w:p>
        </w:tc>
      </w:tr>
      <w:tr w:rsidR="00C241EE" w14:paraId="18AC568A" w14:textId="77777777" w:rsidTr="000B288C">
        <w:tc>
          <w:tcPr>
            <w:tcW w:w="9072" w:type="dxa"/>
            <w:gridSpan w:val="3"/>
            <w:vAlign w:val="center"/>
          </w:tcPr>
          <w:p w14:paraId="451D0368" w14:textId="77777777" w:rsidR="00C241EE" w:rsidRDefault="00C241EE" w:rsidP="000B288C">
            <w:pPr>
              <w:pStyle w:val="Sansinterligne"/>
            </w:pPr>
            <w:r w:rsidRPr="00903E4B">
              <w:rPr>
                <w:b/>
                <w:bCs/>
                <w:color w:val="002060"/>
              </w:rPr>
              <w:t>Taux forfaitaires :</w:t>
            </w:r>
            <w:r w:rsidRPr="00903E4B">
              <w:rPr>
                <w:color w:val="002060"/>
              </w:rPr>
              <w:t xml:space="preserve"> </w:t>
            </w:r>
            <w:r>
              <w:t>obligatoire lorsque le coût total du projet est inférieur à 200 000 €</w:t>
            </w:r>
          </w:p>
        </w:tc>
        <w:tc>
          <w:tcPr>
            <w:tcW w:w="1423" w:type="dxa"/>
            <w:vAlign w:val="center"/>
          </w:tcPr>
          <w:p w14:paraId="051884D3" w14:textId="77777777" w:rsidR="00C241EE" w:rsidRPr="00903E4B" w:rsidRDefault="00C241EE" w:rsidP="000B288C">
            <w:pPr>
              <w:pStyle w:val="Sansinterligne"/>
              <w:jc w:val="center"/>
              <w:rPr>
                <w:b/>
                <w:bCs/>
                <w:color w:val="002060"/>
              </w:rPr>
            </w:pPr>
            <w:r>
              <w:rPr>
                <w:b/>
                <w:bCs/>
                <w:noProof/>
                <w:color w:val="002060"/>
              </w:rPr>
              <w:drawing>
                <wp:inline distT="0" distB="0" distL="0" distR="0" wp14:anchorId="37492233" wp14:editId="0BB1D24D">
                  <wp:extent cx="262393" cy="262393"/>
                  <wp:effectExtent l="0" t="0" r="4445" b="4445"/>
                  <wp:docPr id="784945814" name="Picture 784945814"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C241EE" w14:paraId="2D691473" w14:textId="77777777" w:rsidTr="000B288C">
        <w:tc>
          <w:tcPr>
            <w:tcW w:w="284" w:type="dxa"/>
            <w:tcBorders>
              <w:right w:val="nil"/>
            </w:tcBorders>
          </w:tcPr>
          <w:p w14:paraId="2680B557" w14:textId="77777777" w:rsidR="00C241EE" w:rsidRDefault="00C241EE" w:rsidP="000B288C">
            <w:pPr>
              <w:pStyle w:val="Sansinterligne"/>
              <w:jc w:val="both"/>
            </w:pPr>
          </w:p>
        </w:tc>
        <w:tc>
          <w:tcPr>
            <w:tcW w:w="8788" w:type="dxa"/>
            <w:gridSpan w:val="2"/>
            <w:tcBorders>
              <w:left w:val="nil"/>
            </w:tcBorders>
            <w:vAlign w:val="center"/>
          </w:tcPr>
          <w:p w14:paraId="32B98FD7" w14:textId="77777777" w:rsidR="00C241EE" w:rsidRDefault="00C241EE" w:rsidP="000B288C">
            <w:pPr>
              <w:pStyle w:val="Sansinterligne"/>
            </w:pPr>
            <w:r w:rsidRPr="00C57CAD">
              <w:rPr>
                <w:b/>
                <w:bCs/>
              </w:rPr>
              <w:t>Taux de 40% :</w:t>
            </w:r>
            <w:r>
              <w:t xml:space="preserve"> </w:t>
            </w:r>
            <w:r w:rsidRPr="00903E4B">
              <w:t>forfaitise les coûts hors frais directs de personnel dans la limite de 40% des coûts directs de personnel</w:t>
            </w:r>
          </w:p>
        </w:tc>
        <w:tc>
          <w:tcPr>
            <w:tcW w:w="1423" w:type="dxa"/>
            <w:vAlign w:val="center"/>
          </w:tcPr>
          <w:p w14:paraId="13CFFEA7" w14:textId="77777777" w:rsidR="00C241EE" w:rsidRDefault="00C241EE" w:rsidP="000B288C">
            <w:pPr>
              <w:pStyle w:val="Sansinterligne"/>
              <w:jc w:val="center"/>
            </w:pPr>
            <w:r>
              <w:rPr>
                <w:b/>
                <w:bCs/>
                <w:noProof/>
                <w:color w:val="002060"/>
              </w:rPr>
              <w:drawing>
                <wp:inline distT="0" distB="0" distL="0" distR="0" wp14:anchorId="3FDD8A4C" wp14:editId="310F5389">
                  <wp:extent cx="230588" cy="230588"/>
                  <wp:effectExtent l="0" t="0" r="0" b="0"/>
                  <wp:docPr id="784945815" name="Picture 784945815"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C241EE" w14:paraId="05804CE8" w14:textId="77777777" w:rsidTr="000B288C">
        <w:tc>
          <w:tcPr>
            <w:tcW w:w="284" w:type="dxa"/>
            <w:tcBorders>
              <w:right w:val="nil"/>
            </w:tcBorders>
          </w:tcPr>
          <w:p w14:paraId="33425A11" w14:textId="77777777" w:rsidR="00C241EE" w:rsidRDefault="00C241EE" w:rsidP="000B288C">
            <w:pPr>
              <w:pStyle w:val="Sansinterligne"/>
              <w:jc w:val="both"/>
            </w:pPr>
          </w:p>
        </w:tc>
        <w:tc>
          <w:tcPr>
            <w:tcW w:w="8788" w:type="dxa"/>
            <w:gridSpan w:val="2"/>
            <w:tcBorders>
              <w:left w:val="nil"/>
            </w:tcBorders>
            <w:vAlign w:val="center"/>
          </w:tcPr>
          <w:p w14:paraId="1386134C" w14:textId="77777777" w:rsidR="00C241EE" w:rsidRDefault="00C241EE" w:rsidP="000B288C">
            <w:pPr>
              <w:pStyle w:val="Sansinterligne"/>
            </w:pPr>
            <w:r w:rsidRPr="00C57CAD">
              <w:rPr>
                <w:b/>
                <w:bCs/>
              </w:rPr>
              <w:t>Taux de 15% :</w:t>
            </w:r>
            <w:r>
              <w:t xml:space="preserve"> </w:t>
            </w:r>
            <w:r w:rsidRPr="00903E4B">
              <w:t>forfaitise les coûts indirects dans la limite de 15% des coûts directs de personnel</w:t>
            </w:r>
          </w:p>
        </w:tc>
        <w:tc>
          <w:tcPr>
            <w:tcW w:w="1423" w:type="dxa"/>
            <w:vAlign w:val="center"/>
          </w:tcPr>
          <w:p w14:paraId="199F0B46" w14:textId="77777777" w:rsidR="00C241EE" w:rsidRDefault="00C241EE" w:rsidP="000B288C">
            <w:pPr>
              <w:pStyle w:val="Sansinterligne"/>
              <w:jc w:val="center"/>
            </w:pPr>
            <w:r>
              <w:rPr>
                <w:b/>
                <w:bCs/>
                <w:noProof/>
                <w:color w:val="002060"/>
              </w:rPr>
              <w:drawing>
                <wp:inline distT="0" distB="0" distL="0" distR="0" wp14:anchorId="34048503" wp14:editId="2C6FA08E">
                  <wp:extent cx="230588" cy="230588"/>
                  <wp:effectExtent l="0" t="0" r="0" b="0"/>
                  <wp:docPr id="784945816" name="Picture 784945816"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C241EE" w14:paraId="676756E7" w14:textId="77777777" w:rsidTr="000B288C">
        <w:tc>
          <w:tcPr>
            <w:tcW w:w="284" w:type="dxa"/>
            <w:tcBorders>
              <w:right w:val="nil"/>
            </w:tcBorders>
          </w:tcPr>
          <w:p w14:paraId="261316E8" w14:textId="77777777" w:rsidR="00C241EE" w:rsidRDefault="00C241EE" w:rsidP="000B288C">
            <w:pPr>
              <w:pStyle w:val="Sansinterligne"/>
              <w:jc w:val="both"/>
            </w:pPr>
          </w:p>
        </w:tc>
        <w:tc>
          <w:tcPr>
            <w:tcW w:w="8788" w:type="dxa"/>
            <w:gridSpan w:val="2"/>
            <w:tcBorders>
              <w:left w:val="nil"/>
            </w:tcBorders>
            <w:vAlign w:val="center"/>
          </w:tcPr>
          <w:p w14:paraId="456285B7" w14:textId="77777777" w:rsidR="00C241EE" w:rsidRDefault="00C241EE" w:rsidP="000B288C">
            <w:pPr>
              <w:pStyle w:val="Sansinterligne"/>
            </w:pPr>
            <w:r w:rsidRPr="00C57CAD">
              <w:rPr>
                <w:b/>
                <w:bCs/>
              </w:rPr>
              <w:t>Taux de 20% :</w:t>
            </w:r>
            <w:r>
              <w:t xml:space="preserve"> </w:t>
            </w:r>
            <w:r w:rsidRPr="00903E4B">
              <w:t>forfaitise les coûts de personnel directs dans la limite de 20% des coûts directs hors frais de personnel directs</w:t>
            </w:r>
          </w:p>
        </w:tc>
        <w:tc>
          <w:tcPr>
            <w:tcW w:w="1423" w:type="dxa"/>
            <w:vAlign w:val="center"/>
          </w:tcPr>
          <w:p w14:paraId="6FB0A999" w14:textId="77777777" w:rsidR="00C241EE" w:rsidRDefault="00C241EE" w:rsidP="000B288C">
            <w:pPr>
              <w:pStyle w:val="Sansinterligne"/>
              <w:jc w:val="center"/>
            </w:pPr>
            <w:r>
              <w:rPr>
                <w:b/>
                <w:bCs/>
                <w:noProof/>
                <w:color w:val="002060"/>
              </w:rPr>
              <w:drawing>
                <wp:inline distT="0" distB="0" distL="0" distR="0" wp14:anchorId="516F209B" wp14:editId="2F42BCEA">
                  <wp:extent cx="230588" cy="230588"/>
                  <wp:effectExtent l="0" t="0" r="0" b="0"/>
                  <wp:docPr id="178" name="Picture 178"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C241EE" w14:paraId="26C4C080" w14:textId="77777777" w:rsidTr="000B288C">
        <w:tc>
          <w:tcPr>
            <w:tcW w:w="284" w:type="dxa"/>
            <w:tcBorders>
              <w:right w:val="nil"/>
            </w:tcBorders>
          </w:tcPr>
          <w:p w14:paraId="027DD3BB" w14:textId="77777777" w:rsidR="00C241EE" w:rsidRDefault="00C241EE" w:rsidP="000B288C">
            <w:pPr>
              <w:pStyle w:val="Sansinterligne"/>
              <w:jc w:val="both"/>
            </w:pPr>
          </w:p>
        </w:tc>
        <w:tc>
          <w:tcPr>
            <w:tcW w:w="8788" w:type="dxa"/>
            <w:gridSpan w:val="2"/>
            <w:tcBorders>
              <w:left w:val="nil"/>
            </w:tcBorders>
            <w:vAlign w:val="center"/>
          </w:tcPr>
          <w:p w14:paraId="3030716B" w14:textId="77777777" w:rsidR="00C241EE" w:rsidRDefault="00C241EE" w:rsidP="000B288C">
            <w:pPr>
              <w:pStyle w:val="Sansinterligne"/>
            </w:pPr>
            <w:r w:rsidRPr="00C57CAD">
              <w:rPr>
                <w:b/>
                <w:bCs/>
              </w:rPr>
              <w:t>Taux de 7% :</w:t>
            </w:r>
            <w:r>
              <w:t xml:space="preserve"> </w:t>
            </w:r>
            <w:r w:rsidRPr="00903E4B">
              <w:t>forfaitise les coûts indirects dans la limite de 7% des coûts directs</w:t>
            </w:r>
          </w:p>
        </w:tc>
        <w:tc>
          <w:tcPr>
            <w:tcW w:w="1423" w:type="dxa"/>
            <w:vAlign w:val="center"/>
          </w:tcPr>
          <w:p w14:paraId="4D7BF076" w14:textId="77777777" w:rsidR="00C241EE" w:rsidRDefault="00C241EE" w:rsidP="000B288C">
            <w:pPr>
              <w:pStyle w:val="Sansinterligne"/>
              <w:jc w:val="center"/>
            </w:pPr>
            <w:r>
              <w:rPr>
                <w:b/>
                <w:bCs/>
                <w:noProof/>
                <w:color w:val="002060"/>
              </w:rPr>
              <w:drawing>
                <wp:inline distT="0" distB="0" distL="0" distR="0" wp14:anchorId="2E563859" wp14:editId="3CBC71EB">
                  <wp:extent cx="262393" cy="262393"/>
                  <wp:effectExtent l="0" t="0" r="4445" b="4445"/>
                  <wp:docPr id="784945818" name="Picture 784945818"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C241EE" w14:paraId="07B76BD9" w14:textId="77777777" w:rsidTr="000B288C">
        <w:tc>
          <w:tcPr>
            <w:tcW w:w="284" w:type="dxa"/>
            <w:tcBorders>
              <w:right w:val="nil"/>
            </w:tcBorders>
          </w:tcPr>
          <w:p w14:paraId="6519BBF9" w14:textId="77777777" w:rsidR="00C241EE" w:rsidRDefault="00C241EE" w:rsidP="000B288C">
            <w:pPr>
              <w:pStyle w:val="Sansinterligne"/>
              <w:jc w:val="both"/>
            </w:pPr>
          </w:p>
        </w:tc>
        <w:tc>
          <w:tcPr>
            <w:tcW w:w="8788" w:type="dxa"/>
            <w:gridSpan w:val="2"/>
            <w:tcBorders>
              <w:left w:val="nil"/>
            </w:tcBorders>
            <w:vAlign w:val="center"/>
          </w:tcPr>
          <w:p w14:paraId="274D389E" w14:textId="77777777" w:rsidR="00C241EE" w:rsidRPr="00903E4B" w:rsidRDefault="00C241EE" w:rsidP="000B288C">
            <w:pPr>
              <w:pStyle w:val="Sansinterligne"/>
            </w:pPr>
            <w:r>
              <w:t>T</w:t>
            </w:r>
            <w:r w:rsidRPr="00903E4B">
              <w:t>aux forfaitaire(s) applicable(s) dans d’autres politiques de l’UE pour des opérations similaires</w:t>
            </w:r>
          </w:p>
        </w:tc>
        <w:tc>
          <w:tcPr>
            <w:tcW w:w="1423" w:type="dxa"/>
            <w:vAlign w:val="center"/>
          </w:tcPr>
          <w:p w14:paraId="5881D439" w14:textId="77777777" w:rsidR="00C241EE" w:rsidRDefault="00C241EE" w:rsidP="000B288C">
            <w:pPr>
              <w:pStyle w:val="Sansinterligne"/>
              <w:jc w:val="center"/>
            </w:pPr>
            <w:r>
              <w:rPr>
                <w:b/>
                <w:bCs/>
                <w:noProof/>
                <w:color w:val="002060"/>
              </w:rPr>
              <w:drawing>
                <wp:inline distT="0" distB="0" distL="0" distR="0" wp14:anchorId="246B1811" wp14:editId="3B8719E5">
                  <wp:extent cx="262393" cy="262393"/>
                  <wp:effectExtent l="0" t="0" r="4445" b="4445"/>
                  <wp:docPr id="784945819" name="Picture 784945819"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C241EE" w14:paraId="12F16F42" w14:textId="77777777" w:rsidTr="000B288C">
        <w:tc>
          <w:tcPr>
            <w:tcW w:w="9072" w:type="dxa"/>
            <w:gridSpan w:val="3"/>
            <w:vAlign w:val="center"/>
          </w:tcPr>
          <w:p w14:paraId="22B10ED8" w14:textId="77777777" w:rsidR="00C241EE" w:rsidRPr="00903E4B" w:rsidRDefault="00C241EE" w:rsidP="000B288C">
            <w:pPr>
              <w:pStyle w:val="Sansinterligne"/>
              <w:rPr>
                <w:b/>
                <w:bCs/>
                <w:color w:val="002060"/>
              </w:rPr>
            </w:pPr>
            <w:r w:rsidRPr="00903E4B">
              <w:rPr>
                <w:b/>
                <w:bCs/>
                <w:color w:val="002060"/>
              </w:rPr>
              <w:t>Montants forfaitaires</w:t>
            </w:r>
          </w:p>
        </w:tc>
        <w:tc>
          <w:tcPr>
            <w:tcW w:w="1423" w:type="dxa"/>
            <w:vAlign w:val="center"/>
          </w:tcPr>
          <w:p w14:paraId="7D9331FB" w14:textId="77777777" w:rsidR="00C241EE" w:rsidRPr="00903E4B" w:rsidRDefault="00C241EE" w:rsidP="000B288C">
            <w:pPr>
              <w:pStyle w:val="Sansinterligne"/>
              <w:jc w:val="center"/>
              <w:rPr>
                <w:b/>
                <w:bCs/>
                <w:color w:val="002060"/>
              </w:rPr>
            </w:pPr>
            <w:r>
              <w:rPr>
                <w:b/>
                <w:bCs/>
                <w:noProof/>
                <w:color w:val="002060"/>
              </w:rPr>
              <w:drawing>
                <wp:inline distT="0" distB="0" distL="0" distR="0" wp14:anchorId="48F9383D" wp14:editId="1BEF5208">
                  <wp:extent cx="230588" cy="230588"/>
                  <wp:effectExtent l="0" t="0" r="0" b="0"/>
                  <wp:docPr id="784945820" name="Picture 784945820"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C241EE" w14:paraId="79FB04B6" w14:textId="77777777" w:rsidTr="000B288C">
        <w:tc>
          <w:tcPr>
            <w:tcW w:w="9072" w:type="dxa"/>
            <w:gridSpan w:val="3"/>
            <w:vAlign w:val="center"/>
          </w:tcPr>
          <w:p w14:paraId="5346013B" w14:textId="77777777" w:rsidR="00C241EE" w:rsidRPr="00903E4B" w:rsidRDefault="00C241EE" w:rsidP="000B288C">
            <w:pPr>
              <w:pStyle w:val="Sansinterligne"/>
              <w:rPr>
                <w:b/>
                <w:bCs/>
                <w:color w:val="002060"/>
              </w:rPr>
            </w:pPr>
            <w:r w:rsidRPr="00903E4B">
              <w:rPr>
                <w:b/>
                <w:bCs/>
                <w:color w:val="002060"/>
              </w:rPr>
              <w:t>Barème standard de coût unitaire</w:t>
            </w:r>
          </w:p>
        </w:tc>
        <w:tc>
          <w:tcPr>
            <w:tcW w:w="1423" w:type="dxa"/>
            <w:vAlign w:val="center"/>
          </w:tcPr>
          <w:p w14:paraId="3FAA0E7F" w14:textId="77777777" w:rsidR="00C241EE" w:rsidRPr="00903E4B" w:rsidRDefault="00C241EE" w:rsidP="000B288C">
            <w:pPr>
              <w:pStyle w:val="Sansinterligne"/>
              <w:jc w:val="center"/>
              <w:rPr>
                <w:b/>
                <w:bCs/>
                <w:color w:val="002060"/>
              </w:rPr>
            </w:pPr>
            <w:r>
              <w:rPr>
                <w:b/>
                <w:bCs/>
                <w:noProof/>
                <w:color w:val="002060"/>
              </w:rPr>
              <w:drawing>
                <wp:inline distT="0" distB="0" distL="0" distR="0" wp14:anchorId="472AB687" wp14:editId="4CA926AB">
                  <wp:extent cx="246490" cy="246490"/>
                  <wp:effectExtent l="0" t="0" r="1270" b="1270"/>
                  <wp:docPr id="784945821" name="Picture 784945821"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54595" cy="254595"/>
                          </a:xfrm>
                          <a:prstGeom prst="rect">
                            <a:avLst/>
                          </a:prstGeom>
                        </pic:spPr>
                      </pic:pic>
                    </a:graphicData>
                  </a:graphic>
                </wp:inline>
              </w:drawing>
            </w:r>
          </w:p>
        </w:tc>
      </w:tr>
    </w:tbl>
    <w:p w14:paraId="2DF0AD82" w14:textId="77777777" w:rsidR="00C241EE" w:rsidRDefault="00C241EE" w:rsidP="00C241EE">
      <w:pPr>
        <w:pStyle w:val="Sansinterligne"/>
        <w:jc w:val="both"/>
      </w:pPr>
    </w:p>
    <w:p w14:paraId="1D0037A1" w14:textId="77777777" w:rsidR="00C241EE" w:rsidRDefault="00C241EE" w:rsidP="00C241EE">
      <w:pPr>
        <w:pStyle w:val="Sansinterligne"/>
        <w:jc w:val="both"/>
      </w:pPr>
    </w:p>
    <w:p w14:paraId="65FE1EA7" w14:textId="77777777" w:rsidR="00C241EE" w:rsidRDefault="00C241EE" w:rsidP="00C241EE">
      <w:pPr>
        <w:pStyle w:val="Sansinterligne"/>
        <w:jc w:val="both"/>
      </w:pPr>
    </w:p>
    <w:p w14:paraId="053D2394" w14:textId="77777777" w:rsidR="00C241EE" w:rsidRPr="002C70D5" w:rsidRDefault="00C241EE" w:rsidP="00C241EE">
      <w:pPr>
        <w:pStyle w:val="Sansinterligne"/>
        <w:shd w:val="clear" w:color="auto" w:fill="E2EFD9" w:themeFill="accent6" w:themeFillTint="33"/>
        <w:jc w:val="both"/>
        <w:rPr>
          <w:b/>
          <w:bCs/>
          <w:sz w:val="28"/>
          <w:szCs w:val="28"/>
        </w:rPr>
      </w:pPr>
      <w:r>
        <w:rPr>
          <w:b/>
          <w:bCs/>
          <w:color w:val="FFFFFF" w:themeColor="background1"/>
          <w:sz w:val="28"/>
          <w:szCs w:val="28"/>
          <w:shd w:val="clear" w:color="auto" w:fill="70AD47" w:themeFill="accent6"/>
        </w:rPr>
        <w:lastRenderedPageBreak/>
        <w:t>MODALIT</w:t>
      </w:r>
      <w:r w:rsidRPr="00A97870">
        <w:rPr>
          <w:b/>
          <w:bCs/>
          <w:color w:val="FFFFFF" w:themeColor="background1"/>
          <w:sz w:val="28"/>
          <w:szCs w:val="28"/>
          <w:shd w:val="clear" w:color="auto" w:fill="70AD47" w:themeFill="accent6"/>
        </w:rPr>
        <w:t>É</w:t>
      </w:r>
      <w:r>
        <w:rPr>
          <w:b/>
          <w:bCs/>
          <w:color w:val="FFFFFF" w:themeColor="background1"/>
          <w:sz w:val="28"/>
          <w:szCs w:val="28"/>
          <w:shd w:val="clear" w:color="auto" w:fill="70AD47" w:themeFill="accent6"/>
        </w:rPr>
        <w:t xml:space="preserve">S DE FINANCEMENT </w:t>
      </w:r>
      <w:r w:rsidRPr="007C7EF5">
        <w:rPr>
          <w:b/>
          <w:bCs/>
          <w:color w:val="FFFFFF" w:themeColor="background1"/>
          <w:sz w:val="28"/>
          <w:szCs w:val="28"/>
          <w:shd w:val="clear" w:color="auto" w:fill="70AD47" w:themeFill="accent6"/>
        </w:rPr>
        <w:t>?</w:t>
      </w:r>
      <w:r w:rsidRPr="007C7EF5">
        <w:rPr>
          <w:b/>
          <w:bCs/>
          <w:sz w:val="28"/>
          <w:szCs w:val="28"/>
          <w:shd w:val="clear" w:color="auto" w:fill="70AD47" w:themeFill="accent6"/>
        </w:rPr>
        <w:t xml:space="preserve"> </w:t>
      </w:r>
      <w:r>
        <w:rPr>
          <w:b/>
          <w:bCs/>
          <w:sz w:val="28"/>
          <w:szCs w:val="28"/>
        </w:rPr>
        <w:t xml:space="preserve"> </w:t>
      </w:r>
      <w:r>
        <w:rPr>
          <w:b/>
          <w:bCs/>
          <w:color w:val="002060"/>
          <w:sz w:val="28"/>
          <w:szCs w:val="28"/>
        </w:rPr>
        <w:t>Taux d’aide applicables et seuils d’intervention FEDER</w:t>
      </w:r>
    </w:p>
    <w:p w14:paraId="158AA5F5" w14:textId="77777777" w:rsidR="00C241EE" w:rsidRDefault="00C241EE" w:rsidP="00C241EE">
      <w:pPr>
        <w:pStyle w:val="Sansinterligne"/>
        <w:jc w:val="both"/>
      </w:pPr>
    </w:p>
    <w:tbl>
      <w:tblPr>
        <w:tblStyle w:val="Grilledutableau"/>
        <w:tblW w:w="10485" w:type="dxa"/>
        <w:tblLook w:val="04A0" w:firstRow="1" w:lastRow="0" w:firstColumn="1" w:lastColumn="0" w:noHBand="0" w:noVBand="1"/>
      </w:tblPr>
      <w:tblGrid>
        <w:gridCol w:w="3697"/>
        <w:gridCol w:w="711"/>
        <w:gridCol w:w="6077"/>
      </w:tblGrid>
      <w:tr w:rsidR="00C241EE" w14:paraId="791AE239" w14:textId="77777777" w:rsidTr="000B288C">
        <w:trPr>
          <w:trHeight w:val="556"/>
        </w:trPr>
        <w:tc>
          <w:tcPr>
            <w:tcW w:w="3697" w:type="dxa"/>
            <w:vAlign w:val="center"/>
          </w:tcPr>
          <w:p w14:paraId="030D5C88" w14:textId="77777777" w:rsidR="00C241EE" w:rsidRPr="007C7EF5" w:rsidRDefault="00C241EE" w:rsidP="000B288C">
            <w:pPr>
              <w:pStyle w:val="Sansinterligne"/>
              <w:jc w:val="center"/>
              <w:rPr>
                <w:b/>
                <w:bCs/>
              </w:rPr>
            </w:pPr>
            <w:r w:rsidRPr="007C7EF5">
              <w:rPr>
                <w:b/>
                <w:bCs/>
              </w:rPr>
              <w:t>Taux maximum indicatif FEDER du coût total éligible</w:t>
            </w:r>
          </w:p>
          <w:p w14:paraId="32A38D8C" w14:textId="77777777" w:rsidR="00C241EE" w:rsidRDefault="00C241EE" w:rsidP="000B288C">
            <w:pPr>
              <w:pStyle w:val="Sansinterligne"/>
              <w:jc w:val="center"/>
            </w:pPr>
            <w:r w:rsidRPr="007C7EF5">
              <w:rPr>
                <w:sz w:val="20"/>
                <w:szCs w:val="20"/>
              </w:rPr>
              <w:t>(</w:t>
            </w:r>
            <w:proofErr w:type="gramStart"/>
            <w:r w:rsidRPr="007C7EF5">
              <w:rPr>
                <w:sz w:val="20"/>
                <w:szCs w:val="20"/>
              </w:rPr>
              <w:t>sous</w:t>
            </w:r>
            <w:proofErr w:type="gramEnd"/>
            <w:r w:rsidRPr="007C7EF5">
              <w:rPr>
                <w:sz w:val="20"/>
                <w:szCs w:val="20"/>
              </w:rPr>
              <w:t xml:space="preserve"> réserve de la règlementation en matière d’aide d’Etat)</w:t>
            </w:r>
          </w:p>
        </w:tc>
        <w:tc>
          <w:tcPr>
            <w:tcW w:w="711" w:type="dxa"/>
            <w:vAlign w:val="center"/>
          </w:tcPr>
          <w:p w14:paraId="4779F9EB" w14:textId="77777777" w:rsidR="00C241EE" w:rsidRPr="00690551" w:rsidRDefault="00C241EE" w:rsidP="000B288C">
            <w:pPr>
              <w:pStyle w:val="Sansinterligne"/>
              <w:jc w:val="center"/>
              <w:rPr>
                <w:b/>
                <w:highlight w:val="yellow"/>
              </w:rPr>
            </w:pPr>
            <w:r w:rsidRPr="009950F0">
              <w:rPr>
                <w:b/>
                <w:color w:val="00B050"/>
              </w:rPr>
              <w:t>60%</w:t>
            </w:r>
          </w:p>
        </w:tc>
        <w:tc>
          <w:tcPr>
            <w:tcW w:w="6077" w:type="dxa"/>
            <w:vAlign w:val="center"/>
          </w:tcPr>
          <w:p w14:paraId="2D7596D8" w14:textId="77777777" w:rsidR="00C241EE" w:rsidRPr="007C7EF5" w:rsidRDefault="00C241EE" w:rsidP="000B288C">
            <w:pPr>
              <w:pStyle w:val="Sansinterligne"/>
              <w:rPr>
                <w:b/>
                <w:bCs/>
              </w:rPr>
            </w:pPr>
            <w:r w:rsidRPr="007C7EF5">
              <w:rPr>
                <w:b/>
                <w:bCs/>
              </w:rPr>
              <w:t xml:space="preserve">Régimes d’aides applicables : </w:t>
            </w:r>
          </w:p>
          <w:p w14:paraId="1328BA95" w14:textId="77777777" w:rsidR="00C241EE" w:rsidRPr="007C7EF5" w:rsidRDefault="00C241EE" w:rsidP="000B288C">
            <w:pPr>
              <w:pStyle w:val="Sansinterligne"/>
              <w:numPr>
                <w:ilvl w:val="0"/>
                <w:numId w:val="1"/>
              </w:numPr>
              <w:rPr>
                <w:sz w:val="20"/>
                <w:szCs w:val="20"/>
              </w:rPr>
            </w:pPr>
            <w:r w:rsidRPr="007C7EF5">
              <w:rPr>
                <w:sz w:val="20"/>
                <w:szCs w:val="20"/>
              </w:rPr>
              <w:t xml:space="preserve">Toute base juridique pertinente, notamment en recherche, développement et innovation (RDI). </w:t>
            </w:r>
          </w:p>
          <w:p w14:paraId="1C8A9F01" w14:textId="77777777" w:rsidR="00C241EE" w:rsidRPr="007C7EF5" w:rsidRDefault="00C241EE" w:rsidP="000B288C">
            <w:pPr>
              <w:pStyle w:val="Sansinterligne"/>
              <w:numPr>
                <w:ilvl w:val="0"/>
                <w:numId w:val="1"/>
              </w:numPr>
              <w:rPr>
                <w:sz w:val="20"/>
                <w:szCs w:val="20"/>
              </w:rPr>
            </w:pPr>
            <w:r w:rsidRPr="007C7EF5">
              <w:rPr>
                <w:sz w:val="20"/>
                <w:szCs w:val="20"/>
              </w:rPr>
              <w:t xml:space="preserve">Régime Général d’Exemption par Catégorie (RGEC) n°651/2014 du 17 juin 2014. </w:t>
            </w:r>
          </w:p>
          <w:p w14:paraId="0D0297AC" w14:textId="77777777" w:rsidR="00C241EE" w:rsidRPr="007C7EF5" w:rsidRDefault="00C241EE" w:rsidP="000B288C">
            <w:pPr>
              <w:pStyle w:val="Sansinterligne"/>
              <w:numPr>
                <w:ilvl w:val="0"/>
                <w:numId w:val="1"/>
              </w:numPr>
              <w:rPr>
                <w:sz w:val="20"/>
                <w:szCs w:val="20"/>
              </w:rPr>
            </w:pPr>
            <w:r w:rsidRPr="007C7EF5">
              <w:rPr>
                <w:sz w:val="20"/>
                <w:szCs w:val="20"/>
              </w:rPr>
              <w:t xml:space="preserve">Règlement (UE) n° 360/2012 du 25 avril 2012 relatif aux aides de minimis SIEG (Services d’Intérêt Économique Général). </w:t>
            </w:r>
          </w:p>
          <w:p w14:paraId="37815EB4" w14:textId="77777777" w:rsidR="00C241EE" w:rsidRDefault="00C241EE" w:rsidP="000B288C">
            <w:pPr>
              <w:pStyle w:val="Sansinterligne"/>
              <w:numPr>
                <w:ilvl w:val="0"/>
                <w:numId w:val="1"/>
              </w:numPr>
            </w:pPr>
            <w:r w:rsidRPr="007C7EF5">
              <w:rPr>
                <w:sz w:val="20"/>
                <w:szCs w:val="20"/>
              </w:rPr>
              <w:t xml:space="preserve">Règlement (UE) n°1407/2013 du 18 décembre 2013 relatif aux aides de minimis. </w:t>
            </w:r>
          </w:p>
        </w:tc>
      </w:tr>
      <w:tr w:rsidR="00C241EE" w14:paraId="0189E361" w14:textId="77777777" w:rsidTr="000B288C">
        <w:trPr>
          <w:trHeight w:val="432"/>
        </w:trPr>
        <w:tc>
          <w:tcPr>
            <w:tcW w:w="4408" w:type="dxa"/>
            <w:gridSpan w:val="2"/>
            <w:vAlign w:val="center"/>
          </w:tcPr>
          <w:p w14:paraId="1765A5D0" w14:textId="77777777" w:rsidR="00C241EE" w:rsidRPr="007C7EF5" w:rsidRDefault="00C241EE" w:rsidP="000B288C">
            <w:pPr>
              <w:pStyle w:val="Sansinterligne"/>
              <w:jc w:val="center"/>
              <w:rPr>
                <w:b/>
                <w:bCs/>
                <w:color w:val="00B050"/>
              </w:rPr>
            </w:pPr>
            <w:r>
              <w:rPr>
                <w:b/>
                <w:bCs/>
              </w:rPr>
              <w:t>Montant de l’aide FEDER (minimum/maximum)</w:t>
            </w:r>
          </w:p>
        </w:tc>
        <w:tc>
          <w:tcPr>
            <w:tcW w:w="6077" w:type="dxa"/>
            <w:vAlign w:val="center"/>
          </w:tcPr>
          <w:p w14:paraId="3196CED7" w14:textId="77777777" w:rsidR="00C241EE" w:rsidRPr="007C7EF5" w:rsidRDefault="00C241EE" w:rsidP="000B288C">
            <w:pPr>
              <w:pStyle w:val="Sansinterligne"/>
              <w:rPr>
                <w:b/>
                <w:bCs/>
              </w:rPr>
            </w:pPr>
            <w:r w:rsidRPr="00EA0A65">
              <w:rPr>
                <w:b/>
              </w:rPr>
              <w:t>Minimum :</w:t>
            </w:r>
            <w:r>
              <w:rPr>
                <w:b/>
                <w:bCs/>
              </w:rPr>
              <w:t xml:space="preserve"> </w:t>
            </w:r>
            <w:r w:rsidRPr="00EA0A65">
              <w:rPr>
                <w:b/>
                <w:bCs/>
              </w:rPr>
              <w:t xml:space="preserve">30 000 </w:t>
            </w:r>
            <w:r w:rsidRPr="00EA0A65">
              <w:rPr>
                <w:rFonts w:cstheme="minorHAnsi"/>
                <w:b/>
                <w:bCs/>
              </w:rPr>
              <w:t xml:space="preserve">€ </w:t>
            </w:r>
            <w:r w:rsidRPr="00EA0A65">
              <w:rPr>
                <w:b/>
                <w:bCs/>
              </w:rPr>
              <w:t xml:space="preserve">par </w:t>
            </w:r>
            <w:r>
              <w:rPr>
                <w:rFonts w:cstheme="minorHAnsi"/>
                <w:b/>
                <w:bCs/>
              </w:rPr>
              <w:t>projet</w:t>
            </w:r>
          </w:p>
        </w:tc>
      </w:tr>
    </w:tbl>
    <w:p w14:paraId="21E4A87A" w14:textId="77777777" w:rsidR="00C241EE" w:rsidRDefault="00C241EE" w:rsidP="00C241EE">
      <w:pPr>
        <w:pStyle w:val="Sansinterligne"/>
        <w:jc w:val="both"/>
      </w:pPr>
    </w:p>
    <w:p w14:paraId="5C20188D" w14:textId="77777777" w:rsidR="00C241EE" w:rsidRPr="002C70D5" w:rsidRDefault="00C241EE" w:rsidP="00C241EE">
      <w:pPr>
        <w:pStyle w:val="Sansinterligne"/>
        <w:shd w:val="clear" w:color="auto" w:fill="E2EFD9" w:themeFill="accent6" w:themeFillTint="33"/>
        <w:jc w:val="both"/>
        <w:rPr>
          <w:b/>
          <w:bCs/>
          <w:sz w:val="28"/>
          <w:szCs w:val="28"/>
        </w:rPr>
      </w:pPr>
      <w:r>
        <w:rPr>
          <w:b/>
          <w:bCs/>
          <w:color w:val="FFFFFF" w:themeColor="background1"/>
          <w:sz w:val="28"/>
          <w:szCs w:val="28"/>
          <w:shd w:val="clear" w:color="auto" w:fill="70AD47" w:themeFill="accent6"/>
        </w:rPr>
        <w:t>MODALIT</w:t>
      </w:r>
      <w:r w:rsidRPr="00A97870">
        <w:rPr>
          <w:b/>
          <w:bCs/>
          <w:color w:val="FFFFFF" w:themeColor="background1"/>
          <w:sz w:val="28"/>
          <w:szCs w:val="28"/>
          <w:shd w:val="clear" w:color="auto" w:fill="70AD47" w:themeFill="accent6"/>
        </w:rPr>
        <w:t>É</w:t>
      </w:r>
      <w:r>
        <w:rPr>
          <w:b/>
          <w:bCs/>
          <w:color w:val="FFFFFF" w:themeColor="background1"/>
          <w:sz w:val="28"/>
          <w:szCs w:val="28"/>
          <w:shd w:val="clear" w:color="auto" w:fill="70AD47" w:themeFill="accent6"/>
        </w:rPr>
        <w:t xml:space="preserve">S DE FINANCEMENT </w:t>
      </w:r>
      <w:r w:rsidRPr="007C7EF5">
        <w:rPr>
          <w:b/>
          <w:bCs/>
          <w:color w:val="FFFFFF" w:themeColor="background1"/>
          <w:sz w:val="28"/>
          <w:szCs w:val="28"/>
          <w:shd w:val="clear" w:color="auto" w:fill="70AD47" w:themeFill="accent6"/>
        </w:rPr>
        <w:t>?</w:t>
      </w:r>
      <w:r w:rsidRPr="007C7EF5">
        <w:rPr>
          <w:b/>
          <w:bCs/>
          <w:sz w:val="28"/>
          <w:szCs w:val="28"/>
          <w:shd w:val="clear" w:color="auto" w:fill="70AD47" w:themeFill="accent6"/>
        </w:rPr>
        <w:t xml:space="preserve"> </w:t>
      </w:r>
      <w:r>
        <w:rPr>
          <w:b/>
          <w:bCs/>
          <w:sz w:val="28"/>
          <w:szCs w:val="28"/>
        </w:rPr>
        <w:t xml:space="preserve"> </w:t>
      </w:r>
      <w:r>
        <w:rPr>
          <w:b/>
          <w:bCs/>
          <w:color w:val="002060"/>
          <w:sz w:val="28"/>
          <w:szCs w:val="28"/>
        </w:rPr>
        <w:t>Autres cofinanceurs mobilisables (liste non exhaustive)</w:t>
      </w:r>
    </w:p>
    <w:p w14:paraId="565AC275" w14:textId="77777777" w:rsidR="00C241EE" w:rsidRDefault="00C241EE" w:rsidP="00C241EE">
      <w:pPr>
        <w:pStyle w:val="Sansinterligne"/>
        <w:jc w:val="both"/>
      </w:pPr>
    </w:p>
    <w:p w14:paraId="72E2F3F1" w14:textId="77777777" w:rsidR="00C241EE" w:rsidRPr="00690551" w:rsidRDefault="00C241EE" w:rsidP="00C241EE">
      <w:pPr>
        <w:pStyle w:val="Sansinterligne"/>
        <w:numPr>
          <w:ilvl w:val="0"/>
          <w:numId w:val="1"/>
        </w:numPr>
        <w:jc w:val="both"/>
      </w:pPr>
      <w:r w:rsidRPr="00690551">
        <w:t>Etat,</w:t>
      </w:r>
    </w:p>
    <w:p w14:paraId="07B564E8" w14:textId="77777777" w:rsidR="00C241EE" w:rsidRPr="00690551" w:rsidRDefault="00C241EE" w:rsidP="00C241EE">
      <w:pPr>
        <w:pStyle w:val="Sansinterligne"/>
        <w:numPr>
          <w:ilvl w:val="0"/>
          <w:numId w:val="1"/>
        </w:numPr>
        <w:jc w:val="both"/>
      </w:pPr>
      <w:r w:rsidRPr="00690551">
        <w:t>Conseil régional (dont CRST),</w:t>
      </w:r>
    </w:p>
    <w:p w14:paraId="54ECD19A" w14:textId="77777777" w:rsidR="00C241EE" w:rsidRDefault="00C241EE" w:rsidP="00C241EE">
      <w:pPr>
        <w:pStyle w:val="Sansinterligne"/>
        <w:numPr>
          <w:ilvl w:val="0"/>
          <w:numId w:val="1"/>
        </w:numPr>
        <w:jc w:val="both"/>
      </w:pPr>
      <w:r w:rsidRPr="00690551">
        <w:t>Autres collectivités territoriales</w:t>
      </w:r>
    </w:p>
    <w:p w14:paraId="1C31D910" w14:textId="77777777" w:rsidR="00C241EE" w:rsidRPr="00690551" w:rsidRDefault="00C241EE" w:rsidP="00C241EE">
      <w:pPr>
        <w:pStyle w:val="Sansinterligne"/>
        <w:ind w:left="720"/>
        <w:jc w:val="both"/>
      </w:pPr>
    </w:p>
    <w:p w14:paraId="3F6105AB" w14:textId="77777777" w:rsidR="00C241EE" w:rsidRDefault="00C241EE" w:rsidP="00C241EE">
      <w:pPr>
        <w:pStyle w:val="Sansinterligne"/>
        <w:shd w:val="clear" w:color="auto" w:fill="E2CFF1"/>
        <w:jc w:val="both"/>
        <w:rPr>
          <w:b/>
          <w:bCs/>
          <w:color w:val="002060"/>
          <w:sz w:val="28"/>
          <w:szCs w:val="28"/>
        </w:rPr>
      </w:pPr>
      <w:proofErr w:type="gramStart"/>
      <w:r w:rsidRPr="00DB5B1E">
        <w:rPr>
          <w:b/>
          <w:bCs/>
          <w:color w:val="FFFFFF" w:themeColor="background1"/>
          <w:sz w:val="28"/>
          <w:szCs w:val="28"/>
          <w:shd w:val="clear" w:color="auto" w:fill="7030A0"/>
        </w:rPr>
        <w:t>P</w:t>
      </w:r>
      <w:r>
        <w:rPr>
          <w:b/>
          <w:bCs/>
          <w:color w:val="FFFFFF" w:themeColor="background1"/>
          <w:sz w:val="28"/>
          <w:szCs w:val="28"/>
          <w:shd w:val="clear" w:color="auto" w:fill="7030A0"/>
        </w:rPr>
        <w:t>E</w:t>
      </w:r>
      <w:r w:rsidRPr="00DB5B1E">
        <w:rPr>
          <w:b/>
          <w:bCs/>
          <w:color w:val="FFFFFF" w:themeColor="background1"/>
          <w:sz w:val="28"/>
          <w:szCs w:val="28"/>
          <w:shd w:val="clear" w:color="auto" w:fill="7030A0"/>
        </w:rPr>
        <w:t>RFORMANCE </w:t>
      </w:r>
      <w:r>
        <w:rPr>
          <w:b/>
          <w:bCs/>
          <w:sz w:val="28"/>
          <w:szCs w:val="28"/>
        </w:rPr>
        <w:t xml:space="preserve"> </w:t>
      </w:r>
      <w:r>
        <w:rPr>
          <w:b/>
          <w:bCs/>
          <w:color w:val="002060"/>
          <w:sz w:val="28"/>
          <w:szCs w:val="28"/>
        </w:rPr>
        <w:t>Indicateurs</w:t>
      </w:r>
      <w:proofErr w:type="gramEnd"/>
      <w:r>
        <w:rPr>
          <w:b/>
          <w:bCs/>
          <w:color w:val="002060"/>
          <w:sz w:val="28"/>
          <w:szCs w:val="28"/>
        </w:rPr>
        <w:t xml:space="preserve"> de réalisation et de résultat</w:t>
      </w:r>
    </w:p>
    <w:p w14:paraId="08233635" w14:textId="77777777" w:rsidR="00C241EE" w:rsidRDefault="00C241EE" w:rsidP="00C241EE">
      <w:pPr>
        <w:pStyle w:val="Sansinterligne"/>
        <w:jc w:val="both"/>
        <w:rPr>
          <w:b/>
          <w:bCs/>
          <w:color w:val="FFFFFF" w:themeColor="background1"/>
          <w:sz w:val="28"/>
          <w:szCs w:val="28"/>
          <w:shd w:val="clear" w:color="auto" w:fill="7030A0"/>
        </w:rPr>
      </w:pPr>
    </w:p>
    <w:tbl>
      <w:tblPr>
        <w:tblW w:w="10485" w:type="dxa"/>
        <w:tblCellMar>
          <w:left w:w="70" w:type="dxa"/>
          <w:right w:w="70" w:type="dxa"/>
        </w:tblCellMar>
        <w:tblLook w:val="04A0" w:firstRow="1" w:lastRow="0" w:firstColumn="1" w:lastColumn="0" w:noHBand="0" w:noVBand="1"/>
      </w:tblPr>
      <w:tblGrid>
        <w:gridCol w:w="1128"/>
        <w:gridCol w:w="822"/>
        <w:gridCol w:w="3432"/>
        <w:gridCol w:w="992"/>
        <w:gridCol w:w="992"/>
        <w:gridCol w:w="3119"/>
      </w:tblGrid>
      <w:tr w:rsidR="00C241EE" w:rsidRPr="007308A2" w14:paraId="120121E4" w14:textId="77777777" w:rsidTr="000B288C">
        <w:trPr>
          <w:trHeight w:val="460"/>
        </w:trPr>
        <w:tc>
          <w:tcPr>
            <w:tcW w:w="112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E354DD" w14:textId="77777777" w:rsidR="00C241EE" w:rsidRPr="007308A2" w:rsidRDefault="00C241EE" w:rsidP="000B288C">
            <w:pPr>
              <w:spacing w:after="0" w:line="240" w:lineRule="auto"/>
              <w:jc w:val="center"/>
              <w:rPr>
                <w:rFonts w:ascii="Calibri" w:eastAsia="Times New Roman" w:hAnsi="Calibri" w:cs="Calibri"/>
                <w:b/>
                <w:bCs/>
                <w:lang w:eastAsia="fr-FR"/>
              </w:rPr>
            </w:pPr>
            <w:r w:rsidRPr="007308A2">
              <w:rPr>
                <w:rFonts w:ascii="Calibri" w:eastAsia="Times New Roman" w:hAnsi="Calibri" w:cs="Calibri"/>
                <w:b/>
                <w:bCs/>
                <w:lang w:eastAsia="fr-FR"/>
              </w:rPr>
              <w:t>Type</w:t>
            </w:r>
          </w:p>
        </w:tc>
        <w:tc>
          <w:tcPr>
            <w:tcW w:w="822" w:type="dxa"/>
            <w:tcBorders>
              <w:top w:val="single" w:sz="4" w:space="0" w:color="auto"/>
              <w:left w:val="nil"/>
              <w:bottom w:val="single" w:sz="4" w:space="0" w:color="auto"/>
              <w:right w:val="single" w:sz="4" w:space="0" w:color="auto"/>
            </w:tcBorders>
            <w:shd w:val="clear" w:color="000000" w:fill="D9D9D9"/>
            <w:vAlign w:val="center"/>
            <w:hideMark/>
          </w:tcPr>
          <w:p w14:paraId="313B724F" w14:textId="77777777" w:rsidR="00C241EE" w:rsidRPr="007308A2" w:rsidRDefault="00C241EE" w:rsidP="000B288C">
            <w:pPr>
              <w:spacing w:after="0" w:line="240" w:lineRule="auto"/>
              <w:jc w:val="center"/>
              <w:rPr>
                <w:rFonts w:ascii="Calibri" w:eastAsia="Times New Roman" w:hAnsi="Calibri" w:cs="Calibri"/>
                <w:b/>
                <w:bCs/>
                <w:lang w:eastAsia="fr-FR"/>
              </w:rPr>
            </w:pPr>
            <w:r w:rsidRPr="007308A2">
              <w:rPr>
                <w:rFonts w:ascii="Calibri" w:eastAsia="Times New Roman" w:hAnsi="Calibri" w:cs="Calibri"/>
                <w:b/>
                <w:bCs/>
                <w:lang w:eastAsia="fr-FR"/>
              </w:rPr>
              <w:t>Numéro</w:t>
            </w:r>
          </w:p>
        </w:tc>
        <w:tc>
          <w:tcPr>
            <w:tcW w:w="3432" w:type="dxa"/>
            <w:tcBorders>
              <w:top w:val="single" w:sz="4" w:space="0" w:color="auto"/>
              <w:left w:val="nil"/>
              <w:bottom w:val="single" w:sz="4" w:space="0" w:color="auto"/>
              <w:right w:val="single" w:sz="4" w:space="0" w:color="auto"/>
            </w:tcBorders>
            <w:shd w:val="clear" w:color="000000" w:fill="D9D9D9"/>
            <w:vAlign w:val="center"/>
            <w:hideMark/>
          </w:tcPr>
          <w:p w14:paraId="509D1A3D" w14:textId="77777777" w:rsidR="00C241EE" w:rsidRPr="007308A2" w:rsidRDefault="00C241EE" w:rsidP="000B288C">
            <w:pPr>
              <w:spacing w:after="0" w:line="240" w:lineRule="auto"/>
              <w:jc w:val="center"/>
              <w:rPr>
                <w:rFonts w:ascii="Calibri" w:eastAsia="Times New Roman" w:hAnsi="Calibri" w:cs="Calibri"/>
                <w:b/>
                <w:bCs/>
                <w:lang w:eastAsia="fr-FR"/>
              </w:rPr>
            </w:pPr>
            <w:r w:rsidRPr="007308A2">
              <w:rPr>
                <w:rFonts w:ascii="Calibri" w:eastAsia="Times New Roman" w:hAnsi="Calibri" w:cs="Calibri"/>
                <w:b/>
                <w:bCs/>
                <w:lang w:eastAsia="fr-FR"/>
              </w:rPr>
              <w:t>Intitulé</w:t>
            </w:r>
          </w:p>
        </w:tc>
        <w:tc>
          <w:tcPr>
            <w:tcW w:w="992" w:type="dxa"/>
            <w:tcBorders>
              <w:top w:val="single" w:sz="4" w:space="0" w:color="auto"/>
              <w:left w:val="nil"/>
              <w:bottom w:val="single" w:sz="4" w:space="0" w:color="auto"/>
              <w:right w:val="single" w:sz="4" w:space="0" w:color="auto"/>
            </w:tcBorders>
            <w:shd w:val="clear" w:color="000000" w:fill="DDEBF7"/>
            <w:vAlign w:val="center"/>
            <w:hideMark/>
          </w:tcPr>
          <w:p w14:paraId="36047253" w14:textId="77777777" w:rsidR="00C241EE" w:rsidRPr="007308A2" w:rsidRDefault="00C241EE" w:rsidP="000B288C">
            <w:pPr>
              <w:spacing w:after="0" w:line="240" w:lineRule="auto"/>
              <w:jc w:val="center"/>
              <w:rPr>
                <w:rFonts w:ascii="Calibri" w:eastAsia="Times New Roman" w:hAnsi="Calibri" w:cs="Calibri"/>
                <w:b/>
                <w:bCs/>
                <w:lang w:eastAsia="fr-FR"/>
              </w:rPr>
            </w:pPr>
            <w:r w:rsidRPr="007308A2">
              <w:rPr>
                <w:rFonts w:ascii="Calibri" w:eastAsia="Times New Roman" w:hAnsi="Calibri" w:cs="Calibri"/>
                <w:b/>
                <w:bCs/>
                <w:lang w:eastAsia="fr-FR"/>
              </w:rPr>
              <w:t>Valeur 2024</w:t>
            </w:r>
          </w:p>
        </w:tc>
        <w:tc>
          <w:tcPr>
            <w:tcW w:w="992" w:type="dxa"/>
            <w:tcBorders>
              <w:top w:val="single" w:sz="4" w:space="0" w:color="auto"/>
              <w:left w:val="nil"/>
              <w:bottom w:val="single" w:sz="4" w:space="0" w:color="auto"/>
              <w:right w:val="single" w:sz="4" w:space="0" w:color="auto"/>
            </w:tcBorders>
            <w:shd w:val="clear" w:color="000000" w:fill="DDEBF7"/>
            <w:vAlign w:val="center"/>
            <w:hideMark/>
          </w:tcPr>
          <w:p w14:paraId="63A29DA9" w14:textId="77777777" w:rsidR="00C241EE" w:rsidRPr="007308A2" w:rsidRDefault="00C241EE" w:rsidP="000B288C">
            <w:pPr>
              <w:spacing w:after="0" w:line="240" w:lineRule="auto"/>
              <w:jc w:val="center"/>
              <w:rPr>
                <w:rFonts w:ascii="Calibri" w:eastAsia="Times New Roman" w:hAnsi="Calibri" w:cs="Calibri"/>
                <w:b/>
                <w:bCs/>
                <w:lang w:eastAsia="fr-FR"/>
              </w:rPr>
            </w:pPr>
            <w:r w:rsidRPr="007308A2">
              <w:rPr>
                <w:rFonts w:ascii="Calibri" w:eastAsia="Times New Roman" w:hAnsi="Calibri" w:cs="Calibri"/>
                <w:b/>
                <w:bCs/>
                <w:lang w:eastAsia="fr-FR"/>
              </w:rPr>
              <w:t>Valeur 2029</w:t>
            </w:r>
          </w:p>
        </w:tc>
        <w:tc>
          <w:tcPr>
            <w:tcW w:w="3119" w:type="dxa"/>
            <w:tcBorders>
              <w:top w:val="single" w:sz="4" w:space="0" w:color="auto"/>
              <w:left w:val="nil"/>
              <w:bottom w:val="single" w:sz="4" w:space="0" w:color="auto"/>
              <w:right w:val="single" w:sz="4" w:space="0" w:color="auto"/>
            </w:tcBorders>
            <w:shd w:val="clear" w:color="000000" w:fill="FFFF00"/>
            <w:vAlign w:val="center"/>
            <w:hideMark/>
          </w:tcPr>
          <w:p w14:paraId="70874F7B" w14:textId="77777777" w:rsidR="00C241EE" w:rsidRPr="007308A2" w:rsidRDefault="00C241EE" w:rsidP="000B288C">
            <w:pPr>
              <w:spacing w:after="0" w:line="240" w:lineRule="auto"/>
              <w:jc w:val="center"/>
              <w:rPr>
                <w:rFonts w:ascii="Calibri" w:eastAsia="Times New Roman" w:hAnsi="Calibri" w:cs="Calibri"/>
                <w:b/>
                <w:bCs/>
                <w:lang w:eastAsia="fr-FR"/>
              </w:rPr>
            </w:pPr>
            <w:r w:rsidRPr="007308A2">
              <w:rPr>
                <w:rFonts w:ascii="Calibri" w:eastAsia="Times New Roman" w:hAnsi="Calibri" w:cs="Calibri"/>
                <w:b/>
                <w:bCs/>
                <w:lang w:eastAsia="fr-FR"/>
              </w:rPr>
              <w:t>Pièces justificatives</w:t>
            </w:r>
          </w:p>
        </w:tc>
      </w:tr>
      <w:tr w:rsidR="00C241EE" w:rsidRPr="007308A2" w14:paraId="7511C22E" w14:textId="77777777" w:rsidTr="000B288C">
        <w:trPr>
          <w:trHeight w:val="829"/>
        </w:trPr>
        <w:tc>
          <w:tcPr>
            <w:tcW w:w="1128" w:type="dxa"/>
            <w:tcBorders>
              <w:top w:val="nil"/>
              <w:left w:val="single" w:sz="4" w:space="0" w:color="auto"/>
              <w:bottom w:val="single" w:sz="4" w:space="0" w:color="auto"/>
              <w:right w:val="single" w:sz="4" w:space="0" w:color="auto"/>
            </w:tcBorders>
            <w:shd w:val="clear" w:color="000000" w:fill="FFFFFF"/>
            <w:vAlign w:val="center"/>
            <w:hideMark/>
          </w:tcPr>
          <w:p w14:paraId="507DD336" w14:textId="77777777" w:rsidR="00C241EE" w:rsidRPr="007308A2" w:rsidRDefault="00C241EE" w:rsidP="000B288C">
            <w:pPr>
              <w:spacing w:after="0" w:line="240" w:lineRule="auto"/>
              <w:jc w:val="center"/>
              <w:rPr>
                <w:rFonts w:ascii="Calibri" w:eastAsia="Times New Roman" w:hAnsi="Calibri" w:cs="Calibri"/>
                <w:b/>
                <w:bCs/>
                <w:color w:val="5B9BD5"/>
                <w:lang w:eastAsia="fr-FR"/>
              </w:rPr>
            </w:pPr>
            <w:r w:rsidRPr="007308A2">
              <w:rPr>
                <w:rFonts w:ascii="Calibri" w:eastAsia="Times New Roman" w:hAnsi="Calibri" w:cs="Calibri"/>
                <w:b/>
                <w:bCs/>
                <w:color w:val="5B9BD5"/>
                <w:lang w:eastAsia="fr-FR"/>
              </w:rPr>
              <w:t>Réalisation</w:t>
            </w:r>
          </w:p>
        </w:tc>
        <w:tc>
          <w:tcPr>
            <w:tcW w:w="822" w:type="dxa"/>
            <w:tcBorders>
              <w:top w:val="nil"/>
              <w:left w:val="nil"/>
              <w:bottom w:val="single" w:sz="4" w:space="0" w:color="auto"/>
              <w:right w:val="single" w:sz="4" w:space="0" w:color="auto"/>
            </w:tcBorders>
            <w:shd w:val="clear" w:color="000000" w:fill="FFFFFF"/>
            <w:vAlign w:val="center"/>
            <w:hideMark/>
          </w:tcPr>
          <w:p w14:paraId="061C9EFB" w14:textId="77777777" w:rsidR="00C241EE" w:rsidRPr="007308A2" w:rsidRDefault="00C241EE" w:rsidP="000B288C">
            <w:pPr>
              <w:spacing w:after="0" w:line="240" w:lineRule="auto"/>
              <w:jc w:val="center"/>
              <w:rPr>
                <w:rFonts w:ascii="Calibri" w:eastAsia="Times New Roman" w:hAnsi="Calibri" w:cs="Calibri"/>
                <w:lang w:eastAsia="fr-FR"/>
              </w:rPr>
            </w:pPr>
            <w:r w:rsidRPr="007308A2">
              <w:rPr>
                <w:rFonts w:ascii="Calibri" w:eastAsia="Times New Roman" w:hAnsi="Calibri" w:cs="Calibri"/>
                <w:lang w:eastAsia="fr-FR"/>
              </w:rPr>
              <w:t>RCO54</w:t>
            </w:r>
          </w:p>
        </w:tc>
        <w:tc>
          <w:tcPr>
            <w:tcW w:w="3432" w:type="dxa"/>
            <w:tcBorders>
              <w:top w:val="nil"/>
              <w:left w:val="nil"/>
              <w:bottom w:val="single" w:sz="4" w:space="0" w:color="auto"/>
              <w:right w:val="single" w:sz="4" w:space="0" w:color="auto"/>
            </w:tcBorders>
            <w:shd w:val="clear" w:color="000000" w:fill="FFFFFF"/>
            <w:vAlign w:val="center"/>
            <w:hideMark/>
          </w:tcPr>
          <w:p w14:paraId="130BA6ED" w14:textId="77777777" w:rsidR="00C241EE" w:rsidRPr="007308A2" w:rsidRDefault="00C241EE" w:rsidP="000B288C">
            <w:pPr>
              <w:spacing w:after="0" w:line="240" w:lineRule="auto"/>
              <w:rPr>
                <w:rFonts w:ascii="Calibri" w:eastAsia="Times New Roman" w:hAnsi="Calibri" w:cs="Calibri"/>
                <w:lang w:eastAsia="fr-FR"/>
              </w:rPr>
            </w:pPr>
            <w:r w:rsidRPr="007308A2">
              <w:rPr>
                <w:rFonts w:ascii="Calibri" w:eastAsia="Times New Roman" w:hAnsi="Calibri" w:cs="Calibri"/>
                <w:lang w:eastAsia="fr-FR"/>
              </w:rPr>
              <w:t>Connexions intermodales nouvelles ou modernisées</w:t>
            </w:r>
          </w:p>
        </w:tc>
        <w:tc>
          <w:tcPr>
            <w:tcW w:w="992" w:type="dxa"/>
            <w:tcBorders>
              <w:top w:val="nil"/>
              <w:left w:val="nil"/>
              <w:bottom w:val="single" w:sz="4" w:space="0" w:color="auto"/>
              <w:right w:val="single" w:sz="4" w:space="0" w:color="auto"/>
            </w:tcBorders>
            <w:shd w:val="clear" w:color="000000" w:fill="FFFFFF"/>
            <w:vAlign w:val="center"/>
            <w:hideMark/>
          </w:tcPr>
          <w:p w14:paraId="410F9E3A" w14:textId="77777777" w:rsidR="00C241EE" w:rsidRPr="007308A2" w:rsidRDefault="00C241EE" w:rsidP="000B288C">
            <w:pPr>
              <w:spacing w:after="0" w:line="240" w:lineRule="auto"/>
              <w:jc w:val="center"/>
              <w:rPr>
                <w:rFonts w:ascii="Calibri" w:eastAsia="Times New Roman" w:hAnsi="Calibri" w:cs="Calibri"/>
                <w:lang w:eastAsia="fr-FR"/>
              </w:rPr>
            </w:pPr>
            <w:r w:rsidRPr="007308A2">
              <w:rPr>
                <w:rFonts w:ascii="Calibri" w:eastAsia="Times New Roman" w:hAnsi="Calibri" w:cs="Calibri"/>
                <w:lang w:eastAsia="fr-FR"/>
              </w:rPr>
              <w:t>2</w:t>
            </w:r>
          </w:p>
        </w:tc>
        <w:tc>
          <w:tcPr>
            <w:tcW w:w="992" w:type="dxa"/>
            <w:tcBorders>
              <w:top w:val="nil"/>
              <w:left w:val="nil"/>
              <w:bottom w:val="single" w:sz="4" w:space="0" w:color="auto"/>
              <w:right w:val="single" w:sz="4" w:space="0" w:color="auto"/>
            </w:tcBorders>
            <w:shd w:val="clear" w:color="000000" w:fill="FFFFFF"/>
            <w:vAlign w:val="center"/>
            <w:hideMark/>
          </w:tcPr>
          <w:p w14:paraId="0F35DF87" w14:textId="77777777" w:rsidR="00C241EE" w:rsidRPr="007308A2" w:rsidRDefault="00C241EE" w:rsidP="000B288C">
            <w:pPr>
              <w:spacing w:after="0" w:line="240" w:lineRule="auto"/>
              <w:jc w:val="center"/>
              <w:rPr>
                <w:rFonts w:ascii="Calibri" w:eastAsia="Times New Roman" w:hAnsi="Calibri" w:cs="Calibri"/>
                <w:lang w:eastAsia="fr-FR"/>
              </w:rPr>
            </w:pPr>
            <w:r w:rsidRPr="007308A2">
              <w:rPr>
                <w:rFonts w:ascii="Calibri" w:eastAsia="Times New Roman" w:hAnsi="Calibri" w:cs="Calibri"/>
                <w:lang w:eastAsia="fr-FR"/>
              </w:rPr>
              <w:t>4</w:t>
            </w:r>
          </w:p>
        </w:tc>
        <w:tc>
          <w:tcPr>
            <w:tcW w:w="3119" w:type="dxa"/>
            <w:tcBorders>
              <w:top w:val="nil"/>
              <w:left w:val="nil"/>
              <w:bottom w:val="single" w:sz="4" w:space="0" w:color="auto"/>
              <w:right w:val="single" w:sz="4" w:space="0" w:color="auto"/>
            </w:tcBorders>
            <w:shd w:val="clear" w:color="000000" w:fill="FFFFFF"/>
            <w:vAlign w:val="center"/>
            <w:hideMark/>
          </w:tcPr>
          <w:p w14:paraId="20CD0A52" w14:textId="77777777" w:rsidR="00C241EE" w:rsidRPr="007308A2" w:rsidRDefault="00C241EE" w:rsidP="000B288C">
            <w:pPr>
              <w:spacing w:after="0" w:line="240" w:lineRule="auto"/>
              <w:jc w:val="center"/>
              <w:rPr>
                <w:rFonts w:ascii="Calibri" w:eastAsia="Times New Roman" w:hAnsi="Calibri" w:cs="Calibri"/>
                <w:lang w:eastAsia="fr-FR"/>
              </w:rPr>
            </w:pPr>
            <w:r w:rsidRPr="007308A2">
              <w:rPr>
                <w:rFonts w:ascii="Calibri" w:eastAsia="Times New Roman" w:hAnsi="Calibri" w:cs="Calibri"/>
                <w:lang w:eastAsia="fr-FR"/>
              </w:rPr>
              <w:t>Etude préalable des travaux, rapport technique établi par le chef de projet ou un expert à l'issue du projet</w:t>
            </w:r>
          </w:p>
        </w:tc>
      </w:tr>
    </w:tbl>
    <w:p w14:paraId="4553491C" w14:textId="77777777" w:rsidR="00C241EE" w:rsidRDefault="00C241EE" w:rsidP="00C241EE">
      <w:pPr>
        <w:pStyle w:val="Sansinterligne"/>
        <w:jc w:val="both"/>
        <w:rPr>
          <w:b/>
          <w:bCs/>
          <w:color w:val="FFFFFF" w:themeColor="background1"/>
          <w:sz w:val="28"/>
          <w:szCs w:val="28"/>
          <w:shd w:val="clear" w:color="auto" w:fill="7030A0"/>
        </w:rPr>
      </w:pPr>
    </w:p>
    <w:p w14:paraId="27288E51" w14:textId="77777777" w:rsidR="00C241EE" w:rsidRPr="002C70D5" w:rsidRDefault="00C241EE" w:rsidP="00C241EE">
      <w:pPr>
        <w:pStyle w:val="Sansinterligne"/>
        <w:shd w:val="clear" w:color="auto" w:fill="E2CFF1"/>
        <w:jc w:val="both"/>
        <w:rPr>
          <w:b/>
          <w:bCs/>
          <w:sz w:val="28"/>
          <w:szCs w:val="28"/>
        </w:rPr>
      </w:pPr>
      <w:proofErr w:type="gramStart"/>
      <w:r w:rsidRPr="00DB5B1E">
        <w:rPr>
          <w:b/>
          <w:bCs/>
          <w:color w:val="FFFFFF" w:themeColor="background1"/>
          <w:sz w:val="28"/>
          <w:szCs w:val="28"/>
          <w:shd w:val="clear" w:color="auto" w:fill="7030A0"/>
        </w:rPr>
        <w:t>PERFORMANCE </w:t>
      </w:r>
      <w:r>
        <w:rPr>
          <w:b/>
          <w:bCs/>
          <w:sz w:val="28"/>
          <w:szCs w:val="28"/>
        </w:rPr>
        <w:t xml:space="preserve"> </w:t>
      </w:r>
      <w:r>
        <w:rPr>
          <w:b/>
          <w:bCs/>
          <w:color w:val="002060"/>
          <w:sz w:val="28"/>
          <w:szCs w:val="28"/>
        </w:rPr>
        <w:t>Cibles</w:t>
      </w:r>
      <w:proofErr w:type="gramEnd"/>
      <w:r>
        <w:rPr>
          <w:b/>
          <w:bCs/>
          <w:color w:val="002060"/>
          <w:sz w:val="28"/>
          <w:szCs w:val="28"/>
        </w:rPr>
        <w:t xml:space="preserve"> financières à atteindre sur l’action</w:t>
      </w:r>
    </w:p>
    <w:p w14:paraId="59E8766B" w14:textId="77777777" w:rsidR="00C241EE" w:rsidRDefault="00C241EE" w:rsidP="00C241EE">
      <w:pPr>
        <w:pStyle w:val="Sansinterligne"/>
        <w:jc w:val="both"/>
      </w:pPr>
    </w:p>
    <w:p w14:paraId="4613BB2A" w14:textId="77777777" w:rsidR="00C241EE" w:rsidRDefault="00C241EE" w:rsidP="00C241EE">
      <w:pPr>
        <w:pStyle w:val="Sansinterligne"/>
        <w:jc w:val="both"/>
        <w:rPr>
          <w:b/>
          <w:bCs/>
        </w:rPr>
      </w:pPr>
      <w:r>
        <w:rPr>
          <w:b/>
          <w:bCs/>
        </w:rPr>
        <w:t>3 000</w:t>
      </w:r>
      <w:r w:rsidRPr="003077B1">
        <w:rPr>
          <w:b/>
          <w:bCs/>
        </w:rPr>
        <w:t> 000 €</w:t>
      </w:r>
    </w:p>
    <w:p w14:paraId="7E00215B" w14:textId="77777777" w:rsidR="00C241EE" w:rsidRDefault="00C241EE" w:rsidP="00C241EE">
      <w:pPr>
        <w:pStyle w:val="Sansinterligne"/>
        <w:jc w:val="both"/>
      </w:pPr>
    </w:p>
    <w:p w14:paraId="660C9DDC" w14:textId="77777777" w:rsidR="00C241EE" w:rsidRPr="002C70D5" w:rsidRDefault="00C241EE" w:rsidP="00C241EE">
      <w:pPr>
        <w:pStyle w:val="Sansinterligne"/>
        <w:shd w:val="clear" w:color="auto" w:fill="E2CFF1"/>
        <w:jc w:val="both"/>
        <w:rPr>
          <w:b/>
          <w:bCs/>
          <w:sz w:val="28"/>
          <w:szCs w:val="28"/>
        </w:rPr>
      </w:pPr>
      <w:proofErr w:type="gramStart"/>
      <w:r w:rsidRPr="00DB5B1E">
        <w:rPr>
          <w:b/>
          <w:bCs/>
          <w:color w:val="FFFFFF" w:themeColor="background1"/>
          <w:sz w:val="28"/>
          <w:szCs w:val="28"/>
          <w:shd w:val="clear" w:color="auto" w:fill="7030A0"/>
        </w:rPr>
        <w:t>PERFORMANCE </w:t>
      </w:r>
      <w:r>
        <w:rPr>
          <w:b/>
          <w:bCs/>
          <w:sz w:val="28"/>
          <w:szCs w:val="28"/>
        </w:rPr>
        <w:t xml:space="preserve"> </w:t>
      </w:r>
      <w:r>
        <w:rPr>
          <w:b/>
          <w:bCs/>
          <w:color w:val="002060"/>
          <w:sz w:val="28"/>
          <w:szCs w:val="28"/>
        </w:rPr>
        <w:t>Instruments</w:t>
      </w:r>
      <w:proofErr w:type="gramEnd"/>
      <w:r>
        <w:rPr>
          <w:b/>
          <w:bCs/>
          <w:color w:val="002060"/>
          <w:sz w:val="28"/>
          <w:szCs w:val="28"/>
        </w:rPr>
        <w:t xml:space="preserve"> financiers applicables</w:t>
      </w:r>
    </w:p>
    <w:p w14:paraId="0D11003A" w14:textId="77777777" w:rsidR="00C241EE" w:rsidRDefault="00C241EE" w:rsidP="00C241EE">
      <w:pPr>
        <w:pStyle w:val="Sansinterligne"/>
        <w:jc w:val="both"/>
      </w:pPr>
    </w:p>
    <w:tbl>
      <w:tblPr>
        <w:tblStyle w:val="Grilledutableau"/>
        <w:tblW w:w="10490" w:type="dxa"/>
        <w:tblBorders>
          <w:top w:val="none" w:sz="0" w:space="0" w:color="auto"/>
          <w:left w:val="none" w:sz="0" w:space="0" w:color="auto"/>
        </w:tblBorders>
        <w:tblLook w:val="04A0" w:firstRow="1" w:lastRow="0" w:firstColumn="1" w:lastColumn="0" w:noHBand="0" w:noVBand="1"/>
      </w:tblPr>
      <w:tblGrid>
        <w:gridCol w:w="9067"/>
        <w:gridCol w:w="1423"/>
      </w:tblGrid>
      <w:tr w:rsidR="00C241EE" w14:paraId="262F7ECB" w14:textId="77777777" w:rsidTr="000B288C">
        <w:tc>
          <w:tcPr>
            <w:tcW w:w="9067" w:type="dxa"/>
            <w:tcBorders>
              <w:bottom w:val="single" w:sz="4" w:space="0" w:color="auto"/>
            </w:tcBorders>
            <w:vAlign w:val="center"/>
          </w:tcPr>
          <w:p w14:paraId="60427BD9" w14:textId="77777777" w:rsidR="00C241EE" w:rsidRDefault="00C241EE" w:rsidP="000B288C">
            <w:pPr>
              <w:pStyle w:val="Sansinterligne"/>
              <w:jc w:val="center"/>
            </w:pPr>
          </w:p>
        </w:tc>
        <w:tc>
          <w:tcPr>
            <w:tcW w:w="1423" w:type="dxa"/>
            <w:tcBorders>
              <w:top w:val="single" w:sz="4" w:space="0" w:color="auto"/>
            </w:tcBorders>
            <w:vAlign w:val="center"/>
          </w:tcPr>
          <w:p w14:paraId="7196184F" w14:textId="77777777" w:rsidR="00C241EE" w:rsidRPr="003077B1" w:rsidRDefault="00C241EE" w:rsidP="000B288C">
            <w:pPr>
              <w:pStyle w:val="Sansinterligne"/>
              <w:jc w:val="center"/>
              <w:rPr>
                <w:b/>
                <w:bCs/>
              </w:rPr>
            </w:pPr>
            <w:r w:rsidRPr="003077B1">
              <w:rPr>
                <w:b/>
                <w:bCs/>
                <w:color w:val="002060"/>
              </w:rPr>
              <w:t>Mobilisable sur l’action</w:t>
            </w:r>
          </w:p>
        </w:tc>
      </w:tr>
      <w:tr w:rsidR="00C241EE" w14:paraId="140D2285" w14:textId="77777777" w:rsidTr="000B288C">
        <w:tc>
          <w:tcPr>
            <w:tcW w:w="9067" w:type="dxa"/>
            <w:tcBorders>
              <w:top w:val="single" w:sz="4" w:space="0" w:color="auto"/>
              <w:left w:val="single" w:sz="4" w:space="0" w:color="auto"/>
            </w:tcBorders>
            <w:vAlign w:val="center"/>
          </w:tcPr>
          <w:p w14:paraId="07200166" w14:textId="77777777" w:rsidR="00C241EE" w:rsidRDefault="00C241EE" w:rsidP="000B288C">
            <w:pPr>
              <w:pStyle w:val="Sansinterligne"/>
            </w:pPr>
            <w:r>
              <w:t>1 – Subvention non remboursable</w:t>
            </w:r>
          </w:p>
        </w:tc>
        <w:tc>
          <w:tcPr>
            <w:tcW w:w="1423" w:type="dxa"/>
            <w:vAlign w:val="center"/>
          </w:tcPr>
          <w:p w14:paraId="71E25CC0" w14:textId="77777777" w:rsidR="00C241EE" w:rsidRDefault="00C241EE" w:rsidP="000B288C">
            <w:pPr>
              <w:pStyle w:val="Sansinterligne"/>
              <w:jc w:val="center"/>
            </w:pPr>
            <w:r>
              <w:rPr>
                <w:b/>
                <w:bCs/>
                <w:noProof/>
                <w:color w:val="002060"/>
              </w:rPr>
              <w:drawing>
                <wp:inline distT="0" distB="0" distL="0" distR="0" wp14:anchorId="103D4EDB" wp14:editId="1B06EE25">
                  <wp:extent cx="262393" cy="262393"/>
                  <wp:effectExtent l="0" t="0" r="4445" b="4445"/>
                  <wp:docPr id="784945822" name="Picture 784945822"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C241EE" w14:paraId="6C6FB57C" w14:textId="77777777" w:rsidTr="000B288C">
        <w:tc>
          <w:tcPr>
            <w:tcW w:w="9067" w:type="dxa"/>
            <w:tcBorders>
              <w:top w:val="single" w:sz="4" w:space="0" w:color="auto"/>
              <w:left w:val="single" w:sz="4" w:space="0" w:color="auto"/>
            </w:tcBorders>
            <w:vAlign w:val="center"/>
          </w:tcPr>
          <w:p w14:paraId="56F20A07" w14:textId="77777777" w:rsidR="00C241EE" w:rsidRDefault="00C241EE" w:rsidP="000B288C">
            <w:pPr>
              <w:pStyle w:val="Sansinterligne"/>
            </w:pPr>
            <w:r>
              <w:t>2 – Subvention remboursable</w:t>
            </w:r>
          </w:p>
        </w:tc>
        <w:tc>
          <w:tcPr>
            <w:tcW w:w="1423" w:type="dxa"/>
            <w:vAlign w:val="center"/>
          </w:tcPr>
          <w:p w14:paraId="1E7793D9" w14:textId="77777777" w:rsidR="00C241EE" w:rsidRDefault="00C241EE" w:rsidP="000B288C">
            <w:pPr>
              <w:pStyle w:val="Sansinterligne"/>
              <w:jc w:val="center"/>
            </w:pPr>
            <w:r>
              <w:rPr>
                <w:b/>
                <w:bCs/>
                <w:noProof/>
                <w:color w:val="002060"/>
              </w:rPr>
              <w:drawing>
                <wp:inline distT="0" distB="0" distL="0" distR="0" wp14:anchorId="73EAB8F6" wp14:editId="0EC6A610">
                  <wp:extent cx="230588" cy="230588"/>
                  <wp:effectExtent l="0" t="0" r="0" b="0"/>
                  <wp:docPr id="784945823" name="Picture 784945823"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C241EE" w14:paraId="7B308BE6" w14:textId="77777777" w:rsidTr="000B288C">
        <w:tc>
          <w:tcPr>
            <w:tcW w:w="9067" w:type="dxa"/>
            <w:tcBorders>
              <w:top w:val="single" w:sz="4" w:space="0" w:color="auto"/>
              <w:left w:val="single" w:sz="4" w:space="0" w:color="auto"/>
            </w:tcBorders>
            <w:vAlign w:val="center"/>
          </w:tcPr>
          <w:p w14:paraId="14924518" w14:textId="77777777" w:rsidR="00C241EE" w:rsidRDefault="00C241EE" w:rsidP="000B288C">
            <w:pPr>
              <w:pStyle w:val="Sansinterligne"/>
            </w:pPr>
            <w:r>
              <w:t xml:space="preserve">3 – </w:t>
            </w:r>
            <w:r w:rsidRPr="003077B1">
              <w:t>Soutien par le biais d’instruments financiers : capital risque et de fonds propres ou équivalent</w:t>
            </w:r>
          </w:p>
        </w:tc>
        <w:tc>
          <w:tcPr>
            <w:tcW w:w="1423" w:type="dxa"/>
            <w:vAlign w:val="center"/>
          </w:tcPr>
          <w:p w14:paraId="4A7164B0" w14:textId="77777777" w:rsidR="00C241EE" w:rsidRDefault="00C241EE" w:rsidP="000B288C">
            <w:pPr>
              <w:pStyle w:val="Sansinterligne"/>
              <w:jc w:val="center"/>
            </w:pPr>
            <w:r>
              <w:rPr>
                <w:b/>
                <w:bCs/>
                <w:noProof/>
                <w:color w:val="002060"/>
              </w:rPr>
              <w:drawing>
                <wp:inline distT="0" distB="0" distL="0" distR="0" wp14:anchorId="75DD6E7A" wp14:editId="4AE44724">
                  <wp:extent cx="230588" cy="230588"/>
                  <wp:effectExtent l="0" t="0" r="0" b="0"/>
                  <wp:docPr id="784945824" name="Picture 784945824"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C241EE" w14:paraId="0977834B" w14:textId="77777777" w:rsidTr="000B288C">
        <w:tc>
          <w:tcPr>
            <w:tcW w:w="9067" w:type="dxa"/>
            <w:tcBorders>
              <w:top w:val="single" w:sz="4" w:space="0" w:color="auto"/>
              <w:left w:val="single" w:sz="4" w:space="0" w:color="auto"/>
            </w:tcBorders>
            <w:vAlign w:val="center"/>
          </w:tcPr>
          <w:p w14:paraId="10740034" w14:textId="77777777" w:rsidR="00C241EE" w:rsidRDefault="00C241EE" w:rsidP="000B288C">
            <w:pPr>
              <w:pStyle w:val="Sansinterligne"/>
            </w:pPr>
            <w:r>
              <w:t xml:space="preserve">4 – </w:t>
            </w:r>
            <w:r w:rsidRPr="003077B1">
              <w:t>Soutien par le biais d’instruments financiers : prêt ou équivalent</w:t>
            </w:r>
          </w:p>
        </w:tc>
        <w:tc>
          <w:tcPr>
            <w:tcW w:w="1423" w:type="dxa"/>
            <w:vAlign w:val="center"/>
          </w:tcPr>
          <w:p w14:paraId="4D3871EE" w14:textId="77777777" w:rsidR="00C241EE" w:rsidRDefault="00C241EE" w:rsidP="000B288C">
            <w:pPr>
              <w:pStyle w:val="Sansinterligne"/>
              <w:jc w:val="center"/>
            </w:pPr>
            <w:r>
              <w:rPr>
                <w:b/>
                <w:bCs/>
                <w:noProof/>
                <w:color w:val="002060"/>
              </w:rPr>
              <w:drawing>
                <wp:inline distT="0" distB="0" distL="0" distR="0" wp14:anchorId="3289FDA1" wp14:editId="72D3E340">
                  <wp:extent cx="230588" cy="230588"/>
                  <wp:effectExtent l="0" t="0" r="0" b="0"/>
                  <wp:docPr id="784945825" name="Picture 784945825"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C241EE" w14:paraId="64BFA42F" w14:textId="77777777" w:rsidTr="000B288C">
        <w:tc>
          <w:tcPr>
            <w:tcW w:w="9067" w:type="dxa"/>
            <w:tcBorders>
              <w:top w:val="single" w:sz="4" w:space="0" w:color="auto"/>
              <w:left w:val="single" w:sz="4" w:space="0" w:color="auto"/>
              <w:bottom w:val="single" w:sz="4" w:space="0" w:color="auto"/>
            </w:tcBorders>
            <w:vAlign w:val="center"/>
          </w:tcPr>
          <w:p w14:paraId="48F480D4" w14:textId="77777777" w:rsidR="00C241EE" w:rsidRDefault="00C241EE" w:rsidP="000B288C">
            <w:pPr>
              <w:pStyle w:val="Sansinterligne"/>
            </w:pPr>
            <w:r>
              <w:t xml:space="preserve">5 – </w:t>
            </w:r>
            <w:r w:rsidRPr="003077B1">
              <w:t>Soutien par le biais d’instruments financiers : garantie ou équivalent</w:t>
            </w:r>
          </w:p>
        </w:tc>
        <w:tc>
          <w:tcPr>
            <w:tcW w:w="1423" w:type="dxa"/>
            <w:tcBorders>
              <w:bottom w:val="single" w:sz="4" w:space="0" w:color="auto"/>
            </w:tcBorders>
            <w:vAlign w:val="center"/>
          </w:tcPr>
          <w:p w14:paraId="66FF21C6" w14:textId="77777777" w:rsidR="00C241EE" w:rsidRDefault="00C241EE" w:rsidP="000B288C">
            <w:pPr>
              <w:pStyle w:val="Sansinterligne"/>
              <w:jc w:val="center"/>
            </w:pPr>
            <w:r>
              <w:rPr>
                <w:b/>
                <w:bCs/>
                <w:noProof/>
                <w:color w:val="002060"/>
              </w:rPr>
              <w:drawing>
                <wp:inline distT="0" distB="0" distL="0" distR="0" wp14:anchorId="45C1FF51" wp14:editId="3E6CA403">
                  <wp:extent cx="230588" cy="230588"/>
                  <wp:effectExtent l="0" t="0" r="0" b="0"/>
                  <wp:docPr id="784945826" name="Picture 784945826"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C241EE" w14:paraId="2F676BE2" w14:textId="77777777" w:rsidTr="000B288C">
        <w:tc>
          <w:tcPr>
            <w:tcW w:w="9067" w:type="dxa"/>
            <w:tcBorders>
              <w:top w:val="single" w:sz="4" w:space="0" w:color="auto"/>
              <w:left w:val="single" w:sz="4" w:space="0" w:color="auto"/>
              <w:bottom w:val="single" w:sz="4" w:space="0" w:color="auto"/>
            </w:tcBorders>
            <w:vAlign w:val="center"/>
          </w:tcPr>
          <w:p w14:paraId="270A9790" w14:textId="77777777" w:rsidR="00C241EE" w:rsidRDefault="00C241EE" w:rsidP="000B288C">
            <w:pPr>
              <w:pStyle w:val="Sansinterligne"/>
            </w:pPr>
            <w:r>
              <w:t xml:space="preserve">6 – </w:t>
            </w:r>
            <w:r w:rsidRPr="003077B1">
              <w:t>Soutien par le biais d’instruments financiers : bonifications d’intérêt, contributions aux primes de garantie, soutien technique ou équivalent</w:t>
            </w:r>
          </w:p>
        </w:tc>
        <w:tc>
          <w:tcPr>
            <w:tcW w:w="1423" w:type="dxa"/>
            <w:tcBorders>
              <w:top w:val="single" w:sz="4" w:space="0" w:color="auto"/>
              <w:bottom w:val="single" w:sz="4" w:space="0" w:color="auto"/>
            </w:tcBorders>
            <w:vAlign w:val="center"/>
          </w:tcPr>
          <w:p w14:paraId="5C6525C9" w14:textId="77777777" w:rsidR="00C241EE" w:rsidRDefault="00C241EE" w:rsidP="000B288C">
            <w:pPr>
              <w:pStyle w:val="Sansinterligne"/>
              <w:jc w:val="center"/>
            </w:pPr>
            <w:r>
              <w:rPr>
                <w:b/>
                <w:bCs/>
                <w:noProof/>
                <w:color w:val="002060"/>
              </w:rPr>
              <w:drawing>
                <wp:inline distT="0" distB="0" distL="0" distR="0" wp14:anchorId="68DCDBE8" wp14:editId="7BED44CB">
                  <wp:extent cx="230588" cy="230588"/>
                  <wp:effectExtent l="0" t="0" r="0" b="0"/>
                  <wp:docPr id="784945827" name="Picture 784945827"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bl>
    <w:p w14:paraId="2DA28B1A" w14:textId="77777777" w:rsidR="00C241EE" w:rsidRDefault="00C241EE" w:rsidP="00C241EE">
      <w:pPr>
        <w:pStyle w:val="Sansinterligne"/>
        <w:jc w:val="both"/>
      </w:pPr>
    </w:p>
    <w:p w14:paraId="4FBF41A8" w14:textId="77777777" w:rsidR="00C241EE" w:rsidRPr="002C70D5" w:rsidRDefault="00C241EE" w:rsidP="00C241EE">
      <w:pPr>
        <w:pStyle w:val="Sansinterligne"/>
        <w:shd w:val="clear" w:color="auto" w:fill="D9D9D9" w:themeFill="background1" w:themeFillShade="D9"/>
        <w:jc w:val="both"/>
        <w:rPr>
          <w:b/>
          <w:bCs/>
          <w:sz w:val="28"/>
          <w:szCs w:val="28"/>
        </w:rPr>
      </w:pPr>
      <w:r w:rsidRPr="00FD0AB3">
        <w:rPr>
          <w:b/>
          <w:bCs/>
          <w:color w:val="FFFFFF" w:themeColor="background1"/>
          <w:sz w:val="28"/>
          <w:szCs w:val="28"/>
          <w:shd w:val="clear" w:color="auto" w:fill="A5A5A5" w:themeFill="accent3"/>
        </w:rPr>
        <w:t xml:space="preserve">ADMINISTRATION </w:t>
      </w:r>
      <w:r>
        <w:rPr>
          <w:b/>
          <w:bCs/>
          <w:sz w:val="28"/>
          <w:szCs w:val="28"/>
        </w:rPr>
        <w:t xml:space="preserve">  </w:t>
      </w:r>
      <w:r>
        <w:rPr>
          <w:b/>
          <w:bCs/>
          <w:color w:val="002060"/>
          <w:sz w:val="28"/>
          <w:szCs w:val="28"/>
        </w:rPr>
        <w:t>Partie réservée à l’administration</w:t>
      </w:r>
    </w:p>
    <w:p w14:paraId="7746A25E" w14:textId="77777777" w:rsidR="00C241EE" w:rsidRDefault="00C241EE" w:rsidP="00C241EE">
      <w:pPr>
        <w:pStyle w:val="Sansinterligne"/>
        <w:jc w:val="both"/>
      </w:pPr>
    </w:p>
    <w:p w14:paraId="6BCFF645" w14:textId="77777777" w:rsidR="00C241EE" w:rsidRPr="006033A0" w:rsidRDefault="00C241EE" w:rsidP="00C241EE">
      <w:pPr>
        <w:pStyle w:val="Sansinterligne"/>
        <w:jc w:val="both"/>
      </w:pPr>
      <w:r w:rsidRPr="003077B1">
        <w:rPr>
          <w:b/>
          <w:bCs/>
          <w:color w:val="002060"/>
        </w:rPr>
        <w:t>Service instructeur :</w:t>
      </w:r>
      <w:r>
        <w:t xml:space="preserve"> service PO FEDER-FSE – Direction Europe et International – Conseil régional Centre-Val de Loire</w:t>
      </w:r>
    </w:p>
    <w:p w14:paraId="2427944D" w14:textId="77777777" w:rsidR="00C241EE" w:rsidRPr="003077B1" w:rsidRDefault="00C241EE" w:rsidP="00C241EE">
      <w:pPr>
        <w:pStyle w:val="Sansinterligne"/>
        <w:jc w:val="both"/>
        <w:rPr>
          <w:b/>
          <w:bCs/>
        </w:rPr>
      </w:pPr>
      <w:r w:rsidRPr="003077B1">
        <w:rPr>
          <w:b/>
          <w:bCs/>
          <w:color w:val="002060"/>
        </w:rPr>
        <w:t>Services et organismes consultés pour avis :</w:t>
      </w:r>
      <w:r w:rsidRPr="003077B1">
        <w:rPr>
          <w:b/>
          <w:bCs/>
        </w:rPr>
        <w:t xml:space="preserve"> </w:t>
      </w:r>
    </w:p>
    <w:p w14:paraId="1D7122B8" w14:textId="77777777" w:rsidR="00C241EE" w:rsidRDefault="00C241EE" w:rsidP="00C241EE">
      <w:pPr>
        <w:pStyle w:val="Sansinterligne"/>
        <w:numPr>
          <w:ilvl w:val="0"/>
          <w:numId w:val="1"/>
        </w:numPr>
        <w:jc w:val="both"/>
      </w:pPr>
      <w:r>
        <w:t>Direction de l’Aménagement du Territoire – Conseil régional Centre-Val de Loire</w:t>
      </w:r>
    </w:p>
    <w:p w14:paraId="184DB108" w14:textId="77777777" w:rsidR="00C241EE" w:rsidRDefault="00C241EE" w:rsidP="00C241EE">
      <w:pPr>
        <w:pStyle w:val="Sansinterligne"/>
        <w:numPr>
          <w:ilvl w:val="0"/>
          <w:numId w:val="1"/>
        </w:numPr>
        <w:jc w:val="both"/>
      </w:pPr>
      <w:r>
        <w:t>Direction des transports et de la mobilité durable – Conseil régional Centre-Val de Loire</w:t>
      </w:r>
    </w:p>
    <w:p w14:paraId="778D3E9E" w14:textId="77777777" w:rsidR="00C241EE" w:rsidRDefault="00C241EE" w:rsidP="00C241EE">
      <w:pPr>
        <w:pStyle w:val="Sansinterligne"/>
        <w:jc w:val="both"/>
      </w:pPr>
    </w:p>
    <w:p w14:paraId="00A834E1" w14:textId="77777777" w:rsidR="00C241EE" w:rsidRDefault="00C241EE" w:rsidP="00C241EE">
      <w:pPr>
        <w:pStyle w:val="Sansinterligne"/>
        <w:jc w:val="both"/>
      </w:pPr>
      <w:r w:rsidRPr="00674BBC">
        <w:rPr>
          <w:b/>
          <w:bCs/>
          <w:color w:val="002060"/>
        </w:rPr>
        <w:t>Organismes à consulter pour information :</w:t>
      </w:r>
      <w:r w:rsidRPr="00674BBC">
        <w:rPr>
          <w:color w:val="002060"/>
        </w:rPr>
        <w:t xml:space="preserve"> </w:t>
      </w:r>
      <w:r>
        <w:t>sans objet</w:t>
      </w:r>
    </w:p>
    <w:p w14:paraId="62848D41" w14:textId="77777777" w:rsidR="00C241EE" w:rsidRDefault="00C241EE" w:rsidP="00C241EE">
      <w:pPr>
        <w:pStyle w:val="Sansinterligne"/>
        <w:jc w:val="both"/>
      </w:pPr>
    </w:p>
    <w:p w14:paraId="122BE3F0" w14:textId="77777777" w:rsidR="00C241EE" w:rsidRPr="002C70D5" w:rsidRDefault="00C241EE" w:rsidP="00C241EE">
      <w:pPr>
        <w:pStyle w:val="Sansinterligne"/>
        <w:shd w:val="clear" w:color="auto" w:fill="D9D9D9" w:themeFill="background1" w:themeFillShade="D9"/>
        <w:jc w:val="both"/>
        <w:rPr>
          <w:b/>
          <w:bCs/>
          <w:sz w:val="28"/>
          <w:szCs w:val="28"/>
        </w:rPr>
      </w:pPr>
      <w:r w:rsidRPr="00FD0AB3">
        <w:rPr>
          <w:b/>
          <w:bCs/>
          <w:color w:val="FFFFFF" w:themeColor="background1"/>
          <w:sz w:val="28"/>
          <w:szCs w:val="28"/>
          <w:shd w:val="clear" w:color="auto" w:fill="A5A5A5" w:themeFill="accent3"/>
        </w:rPr>
        <w:t xml:space="preserve">ADMINISTRATION </w:t>
      </w:r>
      <w:r>
        <w:rPr>
          <w:b/>
          <w:bCs/>
          <w:sz w:val="28"/>
          <w:szCs w:val="28"/>
        </w:rPr>
        <w:t xml:space="preserve">  </w:t>
      </w:r>
      <w:r>
        <w:rPr>
          <w:b/>
          <w:bCs/>
          <w:color w:val="002060"/>
          <w:sz w:val="28"/>
          <w:szCs w:val="28"/>
        </w:rPr>
        <w:t>Catégories d’intervention</w:t>
      </w:r>
    </w:p>
    <w:p w14:paraId="38D42230" w14:textId="77777777" w:rsidR="00C241EE" w:rsidRDefault="00C241EE" w:rsidP="00C241EE">
      <w:pPr>
        <w:pStyle w:val="Sansinterligne"/>
        <w:jc w:val="both"/>
      </w:pPr>
    </w:p>
    <w:tbl>
      <w:tblPr>
        <w:tblStyle w:val="Grilledutableau"/>
        <w:tblW w:w="10485" w:type="dxa"/>
        <w:tblLook w:val="04A0" w:firstRow="1" w:lastRow="0" w:firstColumn="1" w:lastColumn="0" w:noHBand="0" w:noVBand="1"/>
      </w:tblPr>
      <w:tblGrid>
        <w:gridCol w:w="3256"/>
        <w:gridCol w:w="7229"/>
      </w:tblGrid>
      <w:tr w:rsidR="00C241EE" w14:paraId="7AD2E556" w14:textId="77777777" w:rsidTr="000B288C">
        <w:trPr>
          <w:trHeight w:val="191"/>
        </w:trPr>
        <w:tc>
          <w:tcPr>
            <w:tcW w:w="3256" w:type="dxa"/>
          </w:tcPr>
          <w:p w14:paraId="3D306786" w14:textId="77777777" w:rsidR="00C241EE" w:rsidRPr="00D6168A" w:rsidRDefault="00C241EE" w:rsidP="000B288C">
            <w:pPr>
              <w:pStyle w:val="Sansinterligne"/>
              <w:rPr>
                <w:b/>
                <w:bCs/>
                <w:color w:val="002060"/>
                <w:sz w:val="20"/>
                <w:szCs w:val="20"/>
              </w:rPr>
            </w:pPr>
            <w:r w:rsidRPr="00D6168A">
              <w:rPr>
                <w:b/>
                <w:bCs/>
                <w:color w:val="002060"/>
                <w:sz w:val="20"/>
                <w:szCs w:val="20"/>
              </w:rPr>
              <w:t>Domaine d’intervention</w:t>
            </w:r>
          </w:p>
        </w:tc>
        <w:tc>
          <w:tcPr>
            <w:tcW w:w="7229" w:type="dxa"/>
            <w:vAlign w:val="center"/>
          </w:tcPr>
          <w:p w14:paraId="05006297" w14:textId="77777777" w:rsidR="00C241EE" w:rsidRPr="00FD0AB3" w:rsidRDefault="00C241EE" w:rsidP="000B288C">
            <w:pPr>
              <w:pStyle w:val="Sansinterligne"/>
              <w:rPr>
                <w:sz w:val="20"/>
                <w:szCs w:val="20"/>
              </w:rPr>
            </w:pPr>
            <w:r>
              <w:rPr>
                <w:sz w:val="20"/>
                <w:szCs w:val="20"/>
              </w:rPr>
              <w:t xml:space="preserve">084 </w:t>
            </w:r>
            <w:r w:rsidRPr="009937C8">
              <w:rPr>
                <w:sz w:val="20"/>
                <w:szCs w:val="20"/>
              </w:rPr>
              <w:t>Numérisation des transports urbains</w:t>
            </w:r>
          </w:p>
        </w:tc>
      </w:tr>
      <w:tr w:rsidR="00C241EE" w14:paraId="66CD72AB" w14:textId="77777777" w:rsidTr="000B288C">
        <w:tc>
          <w:tcPr>
            <w:tcW w:w="3256" w:type="dxa"/>
            <w:vAlign w:val="center"/>
          </w:tcPr>
          <w:p w14:paraId="07B51413" w14:textId="77777777" w:rsidR="00C241EE" w:rsidRPr="00D6168A" w:rsidRDefault="00C241EE" w:rsidP="000B288C">
            <w:pPr>
              <w:pStyle w:val="Sansinterligne"/>
              <w:rPr>
                <w:b/>
                <w:bCs/>
                <w:color w:val="002060"/>
                <w:sz w:val="20"/>
                <w:szCs w:val="20"/>
              </w:rPr>
            </w:pPr>
            <w:r w:rsidRPr="00D6168A">
              <w:rPr>
                <w:b/>
                <w:bCs/>
                <w:color w:val="002060"/>
                <w:sz w:val="20"/>
                <w:szCs w:val="20"/>
              </w:rPr>
              <w:t>Forme de financement</w:t>
            </w:r>
          </w:p>
        </w:tc>
        <w:tc>
          <w:tcPr>
            <w:tcW w:w="7229" w:type="dxa"/>
            <w:vAlign w:val="center"/>
          </w:tcPr>
          <w:p w14:paraId="48CFCBE2" w14:textId="77777777" w:rsidR="00C241EE" w:rsidRPr="00FD0AB3" w:rsidRDefault="00C241EE" w:rsidP="000B288C">
            <w:pPr>
              <w:pStyle w:val="Sansinterligne"/>
              <w:rPr>
                <w:sz w:val="20"/>
                <w:szCs w:val="20"/>
              </w:rPr>
            </w:pPr>
            <w:r w:rsidRPr="00FD0AB3">
              <w:rPr>
                <w:sz w:val="20"/>
                <w:szCs w:val="20"/>
              </w:rPr>
              <w:t>01 Subvention</w:t>
            </w:r>
          </w:p>
        </w:tc>
      </w:tr>
      <w:tr w:rsidR="00C241EE" w14:paraId="75C1FABF" w14:textId="77777777" w:rsidTr="000B288C">
        <w:tc>
          <w:tcPr>
            <w:tcW w:w="3256" w:type="dxa"/>
            <w:vAlign w:val="center"/>
          </w:tcPr>
          <w:p w14:paraId="72B4F497" w14:textId="77777777" w:rsidR="00C241EE" w:rsidRPr="00D6168A" w:rsidRDefault="00C241EE" w:rsidP="000B288C">
            <w:pPr>
              <w:pStyle w:val="Sansinterligne"/>
              <w:rPr>
                <w:b/>
                <w:bCs/>
                <w:color w:val="002060"/>
                <w:sz w:val="20"/>
                <w:szCs w:val="20"/>
              </w:rPr>
            </w:pPr>
            <w:r w:rsidRPr="00D6168A">
              <w:rPr>
                <w:b/>
                <w:bCs/>
                <w:color w:val="002060"/>
                <w:sz w:val="20"/>
                <w:szCs w:val="20"/>
              </w:rPr>
              <w:t>Mécanisme d’application territorial et approche territoriale</w:t>
            </w:r>
          </w:p>
        </w:tc>
        <w:tc>
          <w:tcPr>
            <w:tcW w:w="7229" w:type="dxa"/>
            <w:vAlign w:val="center"/>
          </w:tcPr>
          <w:p w14:paraId="23184955" w14:textId="77777777" w:rsidR="00C241EE" w:rsidRPr="00FD0AB3" w:rsidRDefault="00C241EE" w:rsidP="000B288C">
            <w:pPr>
              <w:pStyle w:val="Sansinterligne"/>
              <w:rPr>
                <w:sz w:val="20"/>
                <w:szCs w:val="20"/>
              </w:rPr>
            </w:pPr>
            <w:r w:rsidRPr="00437E5A">
              <w:rPr>
                <w:sz w:val="20"/>
                <w:szCs w:val="20"/>
              </w:rPr>
              <w:t>33 Autres approches - Pas de ciblage géographique</w:t>
            </w:r>
          </w:p>
        </w:tc>
      </w:tr>
      <w:tr w:rsidR="00C241EE" w14:paraId="16236CB9" w14:textId="77777777" w:rsidTr="000B288C">
        <w:tc>
          <w:tcPr>
            <w:tcW w:w="3256" w:type="dxa"/>
            <w:vAlign w:val="center"/>
          </w:tcPr>
          <w:p w14:paraId="2DBD6C6C" w14:textId="77777777" w:rsidR="00C241EE" w:rsidRPr="00D6168A" w:rsidRDefault="00C241EE" w:rsidP="000B288C">
            <w:pPr>
              <w:pStyle w:val="Sansinterligne"/>
              <w:rPr>
                <w:b/>
                <w:bCs/>
                <w:color w:val="002060"/>
                <w:sz w:val="20"/>
                <w:szCs w:val="20"/>
              </w:rPr>
            </w:pPr>
            <w:r>
              <w:rPr>
                <w:b/>
                <w:bCs/>
                <w:color w:val="002060"/>
                <w:sz w:val="20"/>
                <w:szCs w:val="20"/>
              </w:rPr>
              <w:t>Egalité entre les hommes et les femmes</w:t>
            </w:r>
          </w:p>
        </w:tc>
        <w:tc>
          <w:tcPr>
            <w:tcW w:w="7229" w:type="dxa"/>
            <w:vAlign w:val="center"/>
          </w:tcPr>
          <w:p w14:paraId="56F52899" w14:textId="77777777" w:rsidR="00C241EE" w:rsidRPr="00D6168A" w:rsidRDefault="00C241EE" w:rsidP="000B288C">
            <w:pPr>
              <w:pStyle w:val="Sansinterligne"/>
              <w:rPr>
                <w:sz w:val="20"/>
                <w:szCs w:val="20"/>
              </w:rPr>
            </w:pPr>
            <w:r w:rsidRPr="008D2D6C">
              <w:rPr>
                <w:sz w:val="20"/>
                <w:szCs w:val="20"/>
              </w:rPr>
              <w:t>03 Neutralité du point de vue de l'égalité entre les hommes et les femmes</w:t>
            </w:r>
          </w:p>
        </w:tc>
      </w:tr>
    </w:tbl>
    <w:p w14:paraId="680EA156" w14:textId="77777777" w:rsidR="00C241EE" w:rsidRDefault="00C241EE" w:rsidP="00C241EE">
      <w:pPr>
        <w:pStyle w:val="Sansinterligne"/>
        <w:jc w:val="both"/>
      </w:pPr>
    </w:p>
    <w:p w14:paraId="14505FEC" w14:textId="77777777" w:rsidR="00C241EE" w:rsidRPr="002C70D5" w:rsidRDefault="00C241EE" w:rsidP="00C241EE">
      <w:pPr>
        <w:pStyle w:val="Sansinterligne"/>
        <w:shd w:val="clear" w:color="auto" w:fill="B7ECFF"/>
        <w:jc w:val="both"/>
        <w:rPr>
          <w:b/>
          <w:bCs/>
          <w:sz w:val="28"/>
          <w:szCs w:val="28"/>
        </w:rPr>
      </w:pPr>
      <w:proofErr w:type="gramStart"/>
      <w:r w:rsidRPr="00D6168A">
        <w:rPr>
          <w:b/>
          <w:bCs/>
          <w:color w:val="FFFFFF" w:themeColor="background1"/>
          <w:sz w:val="28"/>
          <w:szCs w:val="28"/>
          <w:shd w:val="clear" w:color="auto" w:fill="00B0F0"/>
        </w:rPr>
        <w:t xml:space="preserve">CONTACT </w:t>
      </w:r>
      <w:r>
        <w:rPr>
          <w:b/>
          <w:bCs/>
          <w:color w:val="FFFFFF" w:themeColor="background1"/>
          <w:sz w:val="28"/>
          <w:szCs w:val="28"/>
          <w:shd w:val="clear" w:color="auto" w:fill="00B0F0"/>
        </w:rPr>
        <w:t xml:space="preserve"> </w:t>
      </w:r>
      <w:r w:rsidRPr="00A617AC">
        <w:rPr>
          <w:b/>
          <w:bCs/>
          <w:color w:val="002060"/>
          <w:sz w:val="28"/>
          <w:szCs w:val="28"/>
        </w:rPr>
        <w:t>Service</w:t>
      </w:r>
      <w:proofErr w:type="gramEnd"/>
      <w:r w:rsidRPr="00A617AC">
        <w:rPr>
          <w:b/>
          <w:bCs/>
          <w:color w:val="002060"/>
          <w:sz w:val="28"/>
          <w:szCs w:val="28"/>
        </w:rPr>
        <w:t>(</w:t>
      </w:r>
      <w:r>
        <w:rPr>
          <w:b/>
          <w:bCs/>
          <w:color w:val="002060"/>
          <w:sz w:val="28"/>
          <w:szCs w:val="28"/>
        </w:rPr>
        <w:t>s) en charge de l’instruction des dossiers</w:t>
      </w:r>
    </w:p>
    <w:p w14:paraId="6A7CA7FD" w14:textId="77777777" w:rsidR="00C241EE" w:rsidRDefault="00C241EE" w:rsidP="00C241EE">
      <w:pPr>
        <w:pStyle w:val="Sansinterligne"/>
        <w:jc w:val="both"/>
      </w:pPr>
    </w:p>
    <w:p w14:paraId="4B458B26" w14:textId="77777777" w:rsidR="00C241EE" w:rsidRDefault="00C241EE" w:rsidP="00C241EE">
      <w:pPr>
        <w:pStyle w:val="Sansinterligne"/>
        <w:jc w:val="both"/>
      </w:pPr>
      <w:r w:rsidRPr="00D6168A">
        <w:rPr>
          <w:b/>
          <w:bCs/>
          <w:color w:val="002060"/>
        </w:rPr>
        <w:t>Contact :</w:t>
      </w:r>
      <w:r>
        <w:t xml:space="preserve"> Conseil régional Centre-Val de Loire, Direction Europe et International, </w:t>
      </w:r>
      <w:r w:rsidRPr="00FE0993">
        <w:t>Service Programmation des Fonds européens FEDER FSE+</w:t>
      </w:r>
    </w:p>
    <w:p w14:paraId="45F7FC68" w14:textId="77777777" w:rsidR="00C241EE" w:rsidRDefault="00C241EE" w:rsidP="00C241EE">
      <w:pPr>
        <w:pStyle w:val="Sansinterligne"/>
        <w:jc w:val="both"/>
      </w:pPr>
      <w:r>
        <w:rPr>
          <w:noProof/>
        </w:rPr>
        <w:drawing>
          <wp:inline distT="0" distB="0" distL="0" distR="0" wp14:anchorId="58752711" wp14:editId="216892D1">
            <wp:extent cx="204826" cy="204826"/>
            <wp:effectExtent l="0" t="0" r="5080" b="5080"/>
            <wp:docPr id="8" name="Picture 8" descr="Envelo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784945808"/>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4826" cy="204826"/>
                    </a:xfrm>
                    <a:prstGeom prst="rect">
                      <a:avLst/>
                    </a:prstGeom>
                  </pic:spPr>
                </pic:pic>
              </a:graphicData>
            </a:graphic>
          </wp:inline>
        </w:drawing>
      </w:r>
      <w:r>
        <w:t xml:space="preserve"> : </w:t>
      </w:r>
      <w:hyperlink r:id="rId16" w:history="1">
        <w:r w:rsidRPr="00E4771E">
          <w:rPr>
            <w:rStyle w:val="Lienhypertexte"/>
          </w:rPr>
          <w:t>ext-europe@centrevaldeloire.fr</w:t>
        </w:r>
      </w:hyperlink>
    </w:p>
    <w:p w14:paraId="559B062F" w14:textId="05572FD6" w:rsidR="00C241EE" w:rsidRDefault="00C241EE" w:rsidP="00C241EE">
      <w:pPr>
        <w:pStyle w:val="Sansinterligne"/>
        <w:jc w:val="both"/>
        <w:rPr>
          <w:rStyle w:val="Lienhypertexte"/>
        </w:rPr>
      </w:pPr>
    </w:p>
    <w:p w14:paraId="65AED19A" w14:textId="77777777" w:rsidR="006822AF" w:rsidRDefault="006822AF" w:rsidP="00C241EE">
      <w:pPr>
        <w:pStyle w:val="Sansinterligne"/>
        <w:jc w:val="both"/>
        <w:rPr>
          <w:rFonts w:ascii="Calibri" w:hAnsi="Calibri" w:cs="Calibri"/>
          <w:sz w:val="10"/>
          <w:szCs w:val="10"/>
        </w:rPr>
      </w:pPr>
    </w:p>
    <w:sectPr w:rsidR="006822AF" w:rsidSect="000E1C19">
      <w:pgSz w:w="11906" w:h="16838"/>
      <w:pgMar w:top="567" w:right="707"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90117" w14:textId="77777777" w:rsidR="008D3829" w:rsidRDefault="008D3829" w:rsidP="00314B76">
      <w:pPr>
        <w:spacing w:after="0" w:line="240" w:lineRule="auto"/>
      </w:pPr>
      <w:r>
        <w:separator/>
      </w:r>
    </w:p>
  </w:endnote>
  <w:endnote w:type="continuationSeparator" w:id="0">
    <w:p w14:paraId="337CCFED" w14:textId="77777777" w:rsidR="008D3829" w:rsidRDefault="008D3829" w:rsidP="00314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25655" w14:textId="77777777" w:rsidR="008D3829" w:rsidRDefault="008D3829" w:rsidP="00314B76">
      <w:pPr>
        <w:spacing w:after="0" w:line="240" w:lineRule="auto"/>
      </w:pPr>
      <w:r>
        <w:separator/>
      </w:r>
    </w:p>
  </w:footnote>
  <w:footnote w:type="continuationSeparator" w:id="0">
    <w:p w14:paraId="323252AD" w14:textId="77777777" w:rsidR="008D3829" w:rsidRDefault="008D3829" w:rsidP="00314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956"/>
    <w:multiLevelType w:val="hybridMultilevel"/>
    <w:tmpl w:val="FF6A166E"/>
    <w:lvl w:ilvl="0" w:tplc="C518DC98">
      <w:start w:val="1"/>
      <w:numFmt w:val="bullet"/>
      <w:lvlText w:val="-"/>
      <w:lvlJc w:val="left"/>
      <w:pPr>
        <w:ind w:left="1068" w:hanging="360"/>
      </w:pPr>
      <w:rPr>
        <w:rFonts w:ascii="Calibri" w:eastAsiaTheme="minorHAns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31916E0"/>
    <w:multiLevelType w:val="hybridMultilevel"/>
    <w:tmpl w:val="A2BA3FC8"/>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9D0DAF"/>
    <w:multiLevelType w:val="hybridMultilevel"/>
    <w:tmpl w:val="2FDA419A"/>
    <w:lvl w:ilvl="0" w:tplc="C8D6443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5B640C"/>
    <w:multiLevelType w:val="hybridMultilevel"/>
    <w:tmpl w:val="B3740140"/>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2F45C0"/>
    <w:multiLevelType w:val="hybridMultilevel"/>
    <w:tmpl w:val="591E38BC"/>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040FE2"/>
    <w:multiLevelType w:val="hybridMultilevel"/>
    <w:tmpl w:val="2506D4A0"/>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1102F1"/>
    <w:multiLevelType w:val="hybridMultilevel"/>
    <w:tmpl w:val="1C3EBE6E"/>
    <w:lvl w:ilvl="0" w:tplc="C8D6443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DF53BD"/>
    <w:multiLevelType w:val="hybridMultilevel"/>
    <w:tmpl w:val="82382D32"/>
    <w:lvl w:ilvl="0" w:tplc="C8D6443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4B59B5"/>
    <w:multiLevelType w:val="hybridMultilevel"/>
    <w:tmpl w:val="9EDE1F5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2331403B"/>
    <w:multiLevelType w:val="hybridMultilevel"/>
    <w:tmpl w:val="99F24440"/>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871240"/>
    <w:multiLevelType w:val="hybridMultilevel"/>
    <w:tmpl w:val="A980382E"/>
    <w:lvl w:ilvl="0" w:tplc="C518DC98">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2F4BD8"/>
    <w:multiLevelType w:val="hybridMultilevel"/>
    <w:tmpl w:val="E51853CA"/>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8BA1579"/>
    <w:multiLevelType w:val="hybridMultilevel"/>
    <w:tmpl w:val="062C2F32"/>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1865CB"/>
    <w:multiLevelType w:val="hybridMultilevel"/>
    <w:tmpl w:val="C08A1310"/>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DB4035A"/>
    <w:multiLevelType w:val="hybridMultilevel"/>
    <w:tmpl w:val="8DCAF2F0"/>
    <w:lvl w:ilvl="0" w:tplc="A7C01A3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FE637CF"/>
    <w:multiLevelType w:val="hybridMultilevel"/>
    <w:tmpl w:val="5BDC9D9E"/>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1C34839"/>
    <w:multiLevelType w:val="hybridMultilevel"/>
    <w:tmpl w:val="ED883E1E"/>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71E2DC1"/>
    <w:multiLevelType w:val="hybridMultilevel"/>
    <w:tmpl w:val="1D603ADE"/>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7A567A5"/>
    <w:multiLevelType w:val="hybridMultilevel"/>
    <w:tmpl w:val="C33420CC"/>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8FA0FA0"/>
    <w:multiLevelType w:val="hybridMultilevel"/>
    <w:tmpl w:val="3D7E6F1A"/>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395A7966"/>
    <w:multiLevelType w:val="hybridMultilevel"/>
    <w:tmpl w:val="05864C96"/>
    <w:lvl w:ilvl="0" w:tplc="B46E97E4">
      <w:numFmt w:val="bullet"/>
      <w:lvlText w:val="-"/>
      <w:lvlJc w:val="left"/>
      <w:pPr>
        <w:ind w:left="720" w:hanging="360"/>
      </w:pPr>
      <w:rPr>
        <w:rFonts w:ascii="Verdana" w:eastAsia="Tahoma" w:hAnsi="Verdan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B916852"/>
    <w:multiLevelType w:val="hybridMultilevel"/>
    <w:tmpl w:val="B32C0B32"/>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1617A6B"/>
    <w:multiLevelType w:val="hybridMultilevel"/>
    <w:tmpl w:val="754AFB32"/>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5256F63"/>
    <w:multiLevelType w:val="hybridMultilevel"/>
    <w:tmpl w:val="D8E08E4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F4B265B"/>
    <w:multiLevelType w:val="hybridMultilevel"/>
    <w:tmpl w:val="47EA3D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3924919"/>
    <w:multiLevelType w:val="hybridMultilevel"/>
    <w:tmpl w:val="25C09152"/>
    <w:lvl w:ilvl="0" w:tplc="C8D6443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3FA58D9"/>
    <w:multiLevelType w:val="hybridMultilevel"/>
    <w:tmpl w:val="53904F48"/>
    <w:lvl w:ilvl="0" w:tplc="DB864322">
      <w:start w:val="1"/>
      <w:numFmt w:val="decimal"/>
      <w:lvlText w:val="%1-"/>
      <w:lvlJc w:val="left"/>
      <w:pPr>
        <w:ind w:left="1080" w:hanging="360"/>
      </w:pPr>
      <w:rPr>
        <w:rFonts w:hint="default"/>
        <w:b/>
        <w:bCs/>
        <w:color w:val="00206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566776CF"/>
    <w:multiLevelType w:val="hybridMultilevel"/>
    <w:tmpl w:val="EBF6F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D8500EE"/>
    <w:multiLevelType w:val="hybridMultilevel"/>
    <w:tmpl w:val="C8F046E4"/>
    <w:lvl w:ilvl="0" w:tplc="C518DC98">
      <w:start w:val="1"/>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15:restartNumberingAfterBreak="0">
    <w:nsid w:val="5E22144C"/>
    <w:multiLevelType w:val="hybridMultilevel"/>
    <w:tmpl w:val="A1A844EC"/>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480586F"/>
    <w:multiLevelType w:val="hybridMultilevel"/>
    <w:tmpl w:val="A3C2C36C"/>
    <w:lvl w:ilvl="0" w:tplc="C518DC98">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5826E2E"/>
    <w:multiLevelType w:val="hybridMultilevel"/>
    <w:tmpl w:val="51605CFE"/>
    <w:lvl w:ilvl="0" w:tplc="C518DC98">
      <w:start w:val="1"/>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 w15:restartNumberingAfterBreak="0">
    <w:nsid w:val="6602158F"/>
    <w:multiLevelType w:val="hybridMultilevel"/>
    <w:tmpl w:val="6EECCBE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68B332D"/>
    <w:multiLevelType w:val="hybridMultilevel"/>
    <w:tmpl w:val="25D4AA9C"/>
    <w:lvl w:ilvl="0" w:tplc="8814CE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A3534A7"/>
    <w:multiLevelType w:val="hybridMultilevel"/>
    <w:tmpl w:val="56821BAC"/>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5" w15:restartNumberingAfterBreak="0">
    <w:nsid w:val="6BDA5007"/>
    <w:multiLevelType w:val="hybridMultilevel"/>
    <w:tmpl w:val="A7E6A458"/>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83F6263"/>
    <w:multiLevelType w:val="hybridMultilevel"/>
    <w:tmpl w:val="360E22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8CE52C5"/>
    <w:multiLevelType w:val="hybridMultilevel"/>
    <w:tmpl w:val="4BB6E822"/>
    <w:lvl w:ilvl="0" w:tplc="C518DC98">
      <w:start w:val="1"/>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8" w15:restartNumberingAfterBreak="0">
    <w:nsid w:val="791E35AD"/>
    <w:multiLevelType w:val="multilevel"/>
    <w:tmpl w:val="244E1B6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79F04A0C"/>
    <w:multiLevelType w:val="hybridMultilevel"/>
    <w:tmpl w:val="00AC3B66"/>
    <w:lvl w:ilvl="0" w:tplc="F4CE1A86">
      <w:numFmt w:val="bullet"/>
      <w:lvlText w:val="-"/>
      <w:lvlJc w:val="left"/>
      <w:pPr>
        <w:ind w:left="720" w:hanging="360"/>
      </w:pPr>
      <w:rPr>
        <w:rFonts w:ascii="Verdana" w:eastAsia="Tahoma" w:hAnsi="Verdana" w:cs="Tahoma" w:hint="default"/>
        <w:color w:val="231F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AAD0ED7"/>
    <w:multiLevelType w:val="hybridMultilevel"/>
    <w:tmpl w:val="38D4A2D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D0E509A"/>
    <w:multiLevelType w:val="hybridMultilevel"/>
    <w:tmpl w:val="EDAA1E38"/>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D477162"/>
    <w:multiLevelType w:val="hybridMultilevel"/>
    <w:tmpl w:val="0EFA05E8"/>
    <w:lvl w:ilvl="0" w:tplc="C518DC98">
      <w:start w:val="1"/>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3" w15:restartNumberingAfterBreak="0">
    <w:nsid w:val="7D5F7C0B"/>
    <w:multiLevelType w:val="hybridMultilevel"/>
    <w:tmpl w:val="0CCE91B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EAB3517"/>
    <w:multiLevelType w:val="hybridMultilevel"/>
    <w:tmpl w:val="FF0E784C"/>
    <w:lvl w:ilvl="0" w:tplc="C518DC98">
      <w:start w:val="1"/>
      <w:numFmt w:val="bullet"/>
      <w:lvlText w:val="-"/>
      <w:lvlJc w:val="left"/>
      <w:pPr>
        <w:ind w:left="1068" w:hanging="360"/>
      </w:pPr>
      <w:rPr>
        <w:rFonts w:ascii="Calibri" w:eastAsiaTheme="minorHAns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56E60F6E">
      <w:numFmt w:val="bullet"/>
      <w:lvlText w:val="•"/>
      <w:lvlJc w:val="left"/>
      <w:pPr>
        <w:ind w:left="2508" w:hanging="360"/>
      </w:pPr>
      <w:rPr>
        <w:rFonts w:ascii="Calibri" w:eastAsiaTheme="minorHAnsi" w:hAnsi="Calibri" w:cs="Calibri"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382295151">
    <w:abstractNumId w:val="32"/>
  </w:num>
  <w:num w:numId="2" w16cid:durableId="821191618">
    <w:abstractNumId w:val="39"/>
  </w:num>
  <w:num w:numId="3" w16cid:durableId="1254632586">
    <w:abstractNumId w:val="22"/>
  </w:num>
  <w:num w:numId="4" w16cid:durableId="825513298">
    <w:abstractNumId w:val="36"/>
  </w:num>
  <w:num w:numId="5" w16cid:durableId="166021111">
    <w:abstractNumId w:val="28"/>
  </w:num>
  <w:num w:numId="6" w16cid:durableId="1346175205">
    <w:abstractNumId w:val="3"/>
  </w:num>
  <w:num w:numId="7" w16cid:durableId="86929630">
    <w:abstractNumId w:val="30"/>
  </w:num>
  <w:num w:numId="8" w16cid:durableId="356081694">
    <w:abstractNumId w:val="21"/>
  </w:num>
  <w:num w:numId="9" w16cid:durableId="695690750">
    <w:abstractNumId w:val="42"/>
  </w:num>
  <w:num w:numId="10" w16cid:durableId="1382364924">
    <w:abstractNumId w:val="18"/>
  </w:num>
  <w:num w:numId="11" w16cid:durableId="1750032403">
    <w:abstractNumId w:val="29"/>
  </w:num>
  <w:num w:numId="12" w16cid:durableId="62529575">
    <w:abstractNumId w:val="43"/>
  </w:num>
  <w:num w:numId="13" w16cid:durableId="368455633">
    <w:abstractNumId w:val="23"/>
  </w:num>
  <w:num w:numId="14" w16cid:durableId="445006993">
    <w:abstractNumId w:val="19"/>
  </w:num>
  <w:num w:numId="15" w16cid:durableId="38482747">
    <w:abstractNumId w:val="0"/>
  </w:num>
  <w:num w:numId="16" w16cid:durableId="528295977">
    <w:abstractNumId w:val="44"/>
  </w:num>
  <w:num w:numId="17" w16cid:durableId="891428903">
    <w:abstractNumId w:val="34"/>
  </w:num>
  <w:num w:numId="18" w16cid:durableId="1600601337">
    <w:abstractNumId w:val="12"/>
  </w:num>
  <w:num w:numId="19" w16cid:durableId="1264148278">
    <w:abstractNumId w:val="33"/>
  </w:num>
  <w:num w:numId="20" w16cid:durableId="1709524324">
    <w:abstractNumId w:val="13"/>
  </w:num>
  <w:num w:numId="21" w16cid:durableId="1030685620">
    <w:abstractNumId w:val="40"/>
  </w:num>
  <w:num w:numId="22" w16cid:durableId="1239829861">
    <w:abstractNumId w:val="8"/>
  </w:num>
  <w:num w:numId="23" w16cid:durableId="1657488800">
    <w:abstractNumId w:val="5"/>
  </w:num>
  <w:num w:numId="24" w16cid:durableId="2111390801">
    <w:abstractNumId w:val="17"/>
  </w:num>
  <w:num w:numId="25" w16cid:durableId="1403985435">
    <w:abstractNumId w:val="38"/>
  </w:num>
  <w:num w:numId="26" w16cid:durableId="200438116">
    <w:abstractNumId w:val="4"/>
  </w:num>
  <w:num w:numId="27" w16cid:durableId="1957445476">
    <w:abstractNumId w:val="35"/>
  </w:num>
  <w:num w:numId="28" w16cid:durableId="1108962976">
    <w:abstractNumId w:val="26"/>
  </w:num>
  <w:num w:numId="29" w16cid:durableId="1637176748">
    <w:abstractNumId w:val="41"/>
  </w:num>
  <w:num w:numId="30" w16cid:durableId="2036149713">
    <w:abstractNumId w:val="37"/>
  </w:num>
  <w:num w:numId="31" w16cid:durableId="931931060">
    <w:abstractNumId w:val="31"/>
  </w:num>
  <w:num w:numId="32" w16cid:durableId="1675496060">
    <w:abstractNumId w:val="10"/>
  </w:num>
  <w:num w:numId="33" w16cid:durableId="1083649551">
    <w:abstractNumId w:val="1"/>
  </w:num>
  <w:num w:numId="34" w16cid:durableId="896626875">
    <w:abstractNumId w:val="9"/>
  </w:num>
  <w:num w:numId="35" w16cid:durableId="627052427">
    <w:abstractNumId w:val="16"/>
  </w:num>
  <w:num w:numId="36" w16cid:durableId="1602640877">
    <w:abstractNumId w:val="27"/>
  </w:num>
  <w:num w:numId="37" w16cid:durableId="1857575867">
    <w:abstractNumId w:val="14"/>
  </w:num>
  <w:num w:numId="38" w16cid:durableId="2041006914">
    <w:abstractNumId w:val="2"/>
  </w:num>
  <w:num w:numId="39" w16cid:durableId="1445808055">
    <w:abstractNumId w:val="24"/>
  </w:num>
  <w:num w:numId="40" w16cid:durableId="1046174870">
    <w:abstractNumId w:val="7"/>
  </w:num>
  <w:num w:numId="41" w16cid:durableId="1033117512">
    <w:abstractNumId w:val="25"/>
  </w:num>
  <w:num w:numId="42" w16cid:durableId="67962091">
    <w:abstractNumId w:val="6"/>
  </w:num>
  <w:num w:numId="43" w16cid:durableId="229080085">
    <w:abstractNumId w:val="20"/>
  </w:num>
  <w:num w:numId="44" w16cid:durableId="2046439213">
    <w:abstractNumId w:val="15"/>
  </w:num>
  <w:num w:numId="45" w16cid:durableId="52449075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C19"/>
    <w:rsid w:val="000015A3"/>
    <w:rsid w:val="0001429F"/>
    <w:rsid w:val="000E1C19"/>
    <w:rsid w:val="0015770F"/>
    <w:rsid w:val="001A68D1"/>
    <w:rsid w:val="002C6E21"/>
    <w:rsid w:val="003004C5"/>
    <w:rsid w:val="00306CCC"/>
    <w:rsid w:val="00314B76"/>
    <w:rsid w:val="00370695"/>
    <w:rsid w:val="005521DB"/>
    <w:rsid w:val="005774DA"/>
    <w:rsid w:val="005F410E"/>
    <w:rsid w:val="006347A3"/>
    <w:rsid w:val="0065762F"/>
    <w:rsid w:val="006822AF"/>
    <w:rsid w:val="006A2AF7"/>
    <w:rsid w:val="00781940"/>
    <w:rsid w:val="007856FC"/>
    <w:rsid w:val="007D32D5"/>
    <w:rsid w:val="007E4FF6"/>
    <w:rsid w:val="007F4EF4"/>
    <w:rsid w:val="00820553"/>
    <w:rsid w:val="008D3829"/>
    <w:rsid w:val="009057D7"/>
    <w:rsid w:val="009A2178"/>
    <w:rsid w:val="00A36E22"/>
    <w:rsid w:val="00AE38D5"/>
    <w:rsid w:val="00B801F8"/>
    <w:rsid w:val="00B87CF4"/>
    <w:rsid w:val="00C16113"/>
    <w:rsid w:val="00C241EE"/>
    <w:rsid w:val="00D349E1"/>
    <w:rsid w:val="00F17487"/>
    <w:rsid w:val="00F96515"/>
    <w:rsid w:val="00FF0E72"/>
    <w:rsid w:val="00FF53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5DEF"/>
  <w15:chartTrackingRefBased/>
  <w15:docId w15:val="{F6E4E21A-7CC9-4456-8C76-028142DF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C19"/>
    <w:pPr>
      <w:spacing w:after="200" w:line="276" w:lineRule="auto"/>
      <w:jc w:val="both"/>
    </w:pPr>
    <w:rPr>
      <w:rFonts w:ascii="Verdana" w:hAnsi="Verdana"/>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0E1C19"/>
    <w:pPr>
      <w:spacing w:after="0" w:line="240" w:lineRule="auto"/>
    </w:pPr>
  </w:style>
  <w:style w:type="table" w:styleId="Grilledutableau">
    <w:name w:val="Table Grid"/>
    <w:basedOn w:val="TableauNormal"/>
    <w:uiPriority w:val="39"/>
    <w:rsid w:val="000E1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chapitre,alinéa 1,6 pt paragraphe carré,List Paragraph1,Sous-Titre,Paragraphe de liste num,Paragraphe de liste 1,Listes,Puce Synthèse,Normal bullet 2,Liste à puce - SC,Paragraphe de liste11,normal,Resume Title,lp1"/>
    <w:basedOn w:val="Normal"/>
    <w:link w:val="ParagraphedelisteCar"/>
    <w:uiPriority w:val="34"/>
    <w:qFormat/>
    <w:rsid w:val="000E1C19"/>
    <w:pPr>
      <w:ind w:left="720"/>
      <w:contextualSpacing/>
    </w:pPr>
  </w:style>
  <w:style w:type="character" w:customStyle="1" w:styleId="SansinterligneCar">
    <w:name w:val="Sans interligne Car"/>
    <w:basedOn w:val="Policepardfaut"/>
    <w:link w:val="Sansinterligne"/>
    <w:uiPriority w:val="1"/>
    <w:rsid w:val="000E1C19"/>
  </w:style>
  <w:style w:type="character" w:customStyle="1" w:styleId="ParagraphedelisteCar">
    <w:name w:val="Paragraphe de liste Car"/>
    <w:aliases w:val="chapitre Car,alinéa 1 Car,6 pt paragraphe carré Car,List Paragraph1 Car,Sous-Titre Car,Paragraphe de liste num Car,Paragraphe de liste 1 Car,Listes Car,Puce Synthèse Car,Normal bullet 2 Car,Liste à puce - SC Car,normal Car"/>
    <w:basedOn w:val="Policepardfaut"/>
    <w:link w:val="Paragraphedeliste"/>
    <w:uiPriority w:val="34"/>
    <w:qFormat/>
    <w:rsid w:val="000E1C19"/>
    <w:rPr>
      <w:rFonts w:ascii="Verdana" w:hAnsi="Verdana"/>
      <w:sz w:val="20"/>
    </w:rPr>
  </w:style>
  <w:style w:type="character" w:styleId="Lienhypertexte">
    <w:name w:val="Hyperlink"/>
    <w:basedOn w:val="Policepardfaut"/>
    <w:uiPriority w:val="99"/>
    <w:unhideWhenUsed/>
    <w:rsid w:val="000E1C19"/>
    <w:rPr>
      <w:color w:val="0563C1" w:themeColor="hyperlink"/>
      <w:u w:val="single"/>
    </w:rPr>
  </w:style>
  <w:style w:type="paragraph" w:styleId="Titre">
    <w:name w:val="Title"/>
    <w:aliases w:val="Titre Action"/>
    <w:basedOn w:val="Normal"/>
    <w:next w:val="Normal"/>
    <w:link w:val="TitreCar"/>
    <w:uiPriority w:val="10"/>
    <w:qFormat/>
    <w:rsid w:val="000E1C19"/>
    <w:pPr>
      <w:spacing w:after="0" w:line="240" w:lineRule="auto"/>
      <w:contextualSpacing/>
      <w:jc w:val="center"/>
    </w:pPr>
    <w:rPr>
      <w:rFonts w:ascii="Calibri" w:eastAsiaTheme="majorEastAsia" w:hAnsi="Calibri" w:cstheme="majorBidi"/>
      <w:b/>
      <w:color w:val="002060"/>
      <w:spacing w:val="-10"/>
      <w:kern w:val="28"/>
      <w:sz w:val="28"/>
      <w:szCs w:val="56"/>
    </w:rPr>
  </w:style>
  <w:style w:type="character" w:customStyle="1" w:styleId="TitreCar">
    <w:name w:val="Titre Car"/>
    <w:aliases w:val="Titre Action Car"/>
    <w:basedOn w:val="Policepardfaut"/>
    <w:link w:val="Titre"/>
    <w:uiPriority w:val="10"/>
    <w:rsid w:val="000E1C19"/>
    <w:rPr>
      <w:rFonts w:ascii="Calibri" w:eastAsiaTheme="majorEastAsia" w:hAnsi="Calibri" w:cstheme="majorBidi"/>
      <w:b/>
      <w:color w:val="002060"/>
      <w:spacing w:val="-10"/>
      <w:kern w:val="28"/>
      <w:sz w:val="28"/>
      <w:szCs w:val="56"/>
    </w:rPr>
  </w:style>
  <w:style w:type="paragraph" w:styleId="En-tte">
    <w:name w:val="header"/>
    <w:basedOn w:val="Normal"/>
    <w:link w:val="En-tteCar"/>
    <w:uiPriority w:val="99"/>
    <w:unhideWhenUsed/>
    <w:rsid w:val="00B87CF4"/>
    <w:pPr>
      <w:tabs>
        <w:tab w:val="center" w:pos="4536"/>
        <w:tab w:val="right" w:pos="9072"/>
      </w:tabs>
      <w:spacing w:after="0" w:line="240" w:lineRule="auto"/>
    </w:pPr>
  </w:style>
  <w:style w:type="character" w:customStyle="1" w:styleId="En-tteCar">
    <w:name w:val="En-tête Car"/>
    <w:basedOn w:val="Policepardfaut"/>
    <w:link w:val="En-tte"/>
    <w:uiPriority w:val="99"/>
    <w:rsid w:val="00B87CF4"/>
    <w:rPr>
      <w:rFonts w:ascii="Verdana" w:hAnsi="Verdana"/>
      <w:sz w:val="20"/>
    </w:rPr>
  </w:style>
  <w:style w:type="paragraph" w:styleId="Corpsdetexte">
    <w:name w:val="Body Text"/>
    <w:basedOn w:val="Normal"/>
    <w:link w:val="CorpsdetexteCar"/>
    <w:uiPriority w:val="1"/>
    <w:qFormat/>
    <w:rsid w:val="009057D7"/>
    <w:pPr>
      <w:widowControl w:val="0"/>
      <w:autoSpaceDE w:val="0"/>
      <w:autoSpaceDN w:val="0"/>
      <w:spacing w:after="0" w:line="240" w:lineRule="auto"/>
      <w:jc w:val="left"/>
    </w:pPr>
    <w:rPr>
      <w:rFonts w:ascii="Tahoma" w:eastAsia="Tahoma" w:hAnsi="Tahoma" w:cs="Tahoma"/>
      <w:sz w:val="18"/>
      <w:szCs w:val="18"/>
    </w:rPr>
  </w:style>
  <w:style w:type="character" w:customStyle="1" w:styleId="CorpsdetexteCar">
    <w:name w:val="Corps de texte Car"/>
    <w:basedOn w:val="Policepardfaut"/>
    <w:link w:val="Corpsdetexte"/>
    <w:uiPriority w:val="1"/>
    <w:rsid w:val="009057D7"/>
    <w:rPr>
      <w:rFonts w:ascii="Tahoma" w:eastAsia="Tahoma" w:hAnsi="Tahoma" w:cs="Tahoma"/>
      <w:sz w:val="18"/>
      <w:szCs w:val="18"/>
    </w:rPr>
  </w:style>
  <w:style w:type="paragraph" w:styleId="Notedebasdepage">
    <w:name w:val="footnote text"/>
    <w:basedOn w:val="Normal"/>
    <w:link w:val="NotedebasdepageCar"/>
    <w:uiPriority w:val="99"/>
    <w:semiHidden/>
    <w:unhideWhenUsed/>
    <w:rsid w:val="00314B76"/>
    <w:pPr>
      <w:spacing w:after="0" w:line="240" w:lineRule="auto"/>
      <w:jc w:val="left"/>
    </w:pPr>
    <w:rPr>
      <w:rFonts w:asciiTheme="minorHAnsi" w:hAnsiTheme="minorHAnsi"/>
      <w:szCs w:val="20"/>
    </w:rPr>
  </w:style>
  <w:style w:type="character" w:customStyle="1" w:styleId="NotedebasdepageCar">
    <w:name w:val="Note de bas de page Car"/>
    <w:basedOn w:val="Policepardfaut"/>
    <w:link w:val="Notedebasdepage"/>
    <w:uiPriority w:val="99"/>
    <w:semiHidden/>
    <w:rsid w:val="00314B76"/>
    <w:rPr>
      <w:sz w:val="20"/>
      <w:szCs w:val="20"/>
    </w:rPr>
  </w:style>
  <w:style w:type="character" w:styleId="Appelnotedebasdep">
    <w:name w:val="footnote reference"/>
    <w:basedOn w:val="Policepardfaut"/>
    <w:uiPriority w:val="99"/>
    <w:semiHidden/>
    <w:unhideWhenUsed/>
    <w:rsid w:val="00314B76"/>
    <w:rPr>
      <w:vertAlign w:val="superscript"/>
    </w:rPr>
  </w:style>
  <w:style w:type="paragraph" w:customStyle="1" w:styleId="paragraph">
    <w:name w:val="paragraph"/>
    <w:basedOn w:val="Normal"/>
    <w:rsid w:val="00306CCC"/>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306CCC"/>
  </w:style>
  <w:style w:type="character" w:customStyle="1" w:styleId="eop">
    <w:name w:val="eop"/>
    <w:basedOn w:val="Policepardfaut"/>
    <w:rsid w:val="00306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xt-europe@centrevaldeloire.f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6.sv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A137275DBA0248B0DD72021258C6F5" ma:contentTypeVersion="10" ma:contentTypeDescription="Crée un document." ma:contentTypeScope="" ma:versionID="a5354c100f40e6ea122feed89f86bce3">
  <xsd:schema xmlns:xsd="http://www.w3.org/2001/XMLSchema" xmlns:xs="http://www.w3.org/2001/XMLSchema" xmlns:p="http://schemas.microsoft.com/office/2006/metadata/properties" xmlns:ns2="55cc30d2-b7bd-4f08-b9b2-9735056b3bad" xmlns:ns3="bb64a37f-c5a3-4adb-861c-9d3b60f16b6d" targetNamespace="http://schemas.microsoft.com/office/2006/metadata/properties" ma:root="true" ma:fieldsID="eb48de8176359272804c68e59cc5cea4" ns2:_="" ns3:_="">
    <xsd:import namespace="55cc30d2-b7bd-4f08-b9b2-9735056b3bad"/>
    <xsd:import namespace="bb64a37f-c5a3-4adb-861c-9d3b60f16b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c30d2-b7bd-4f08-b9b2-9735056b3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4a37f-c5a3-4adb-861c-9d3b60f16b6d"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5AF666-8B31-4446-B682-D20948D6F9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E3D145-4614-4133-B333-B3F093FD7A72}">
  <ds:schemaRefs>
    <ds:schemaRef ds:uri="http://schemas.microsoft.com/sharepoint/v3/contenttype/forms"/>
  </ds:schemaRefs>
</ds:datastoreItem>
</file>

<file path=customXml/itemProps3.xml><?xml version="1.0" encoding="utf-8"?>
<ds:datastoreItem xmlns:ds="http://schemas.openxmlformats.org/officeDocument/2006/customXml" ds:itemID="{C210DB67-B34B-4DD6-A891-89A25C1BC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c30d2-b7bd-4f08-b9b2-9735056b3bad"/>
    <ds:schemaRef ds:uri="bb64a37f-c5a3-4adb-861c-9d3b60f16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1663</Words>
  <Characters>9151</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CRCVDL</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DODEMAND Jeanne</dc:creator>
  <cp:keywords/>
  <dc:description/>
  <cp:lastModifiedBy>DODEMAND Jeanne</cp:lastModifiedBy>
  <cp:revision>3</cp:revision>
  <dcterms:created xsi:type="dcterms:W3CDTF">2022-11-30T12:58:00Z</dcterms:created>
  <dcterms:modified xsi:type="dcterms:W3CDTF">2024-01-10T15:33:00Z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0x01010034A137275DBA0248B0DD72021258C6F5</vt:lpwstr>
  </property>
</Properties>
</file>