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07497758" w:rsidR="004D4853" w:rsidRDefault="004D4853" w:rsidP="004D4853">
      <w:pPr>
        <w:rPr>
          <w:rFonts w:ascii="Calibri" w:hAnsi="Calibri" w:cs="Calibri"/>
        </w:rPr>
      </w:pPr>
    </w:p>
    <w:p w14:paraId="1CA7ECDA" w14:textId="77777777" w:rsidR="00B213B2" w:rsidRDefault="00B213B2" w:rsidP="00B213B2">
      <w:pPr>
        <w:pStyle w:val="Sansinterligne"/>
        <w:jc w:val="both"/>
        <w:rPr>
          <w:rFonts w:ascii="Calibri" w:hAnsi="Calibri" w:cs="Calibri"/>
          <w:sz w:val="10"/>
          <w:szCs w:val="10"/>
        </w:rPr>
      </w:pPr>
    </w:p>
    <w:p w14:paraId="61905585" w14:textId="77777777" w:rsidR="00B213B2" w:rsidRDefault="00B213B2" w:rsidP="00B213B2">
      <w:pPr>
        <w:pStyle w:val="Sansinterligne"/>
        <w:jc w:val="both"/>
        <w:rPr>
          <w:rFonts w:ascii="Calibri" w:hAnsi="Calibri" w:cs="Calibri"/>
          <w:sz w:val="10"/>
          <w:szCs w:val="10"/>
        </w:rPr>
      </w:pPr>
    </w:p>
    <w:p w14:paraId="6CDB1A5B" w14:textId="77777777" w:rsidR="00B213B2" w:rsidRDefault="00B213B2" w:rsidP="00B213B2">
      <w:pPr>
        <w:pStyle w:val="Sansinterligne"/>
        <w:jc w:val="both"/>
        <w:rPr>
          <w:rFonts w:ascii="Calibri" w:hAnsi="Calibri" w:cs="Calibri"/>
          <w:sz w:val="10"/>
          <w:szCs w:val="10"/>
        </w:rPr>
      </w:pPr>
    </w:p>
    <w:p w14:paraId="555E938F" w14:textId="77777777" w:rsidR="00B213B2" w:rsidRDefault="00B213B2" w:rsidP="00B213B2">
      <w:pPr>
        <w:pStyle w:val="Sansinterligne"/>
        <w:jc w:val="both"/>
        <w:rPr>
          <w:rFonts w:ascii="Calibri" w:hAnsi="Calibri" w:cs="Calibri"/>
          <w:sz w:val="10"/>
          <w:szCs w:val="10"/>
        </w:rPr>
      </w:pPr>
    </w:p>
    <w:p w14:paraId="025E869A" w14:textId="77777777" w:rsidR="00B213B2" w:rsidRPr="009325D3" w:rsidRDefault="00B213B2" w:rsidP="00B213B2">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B213B2" w:rsidRPr="009325D3" w14:paraId="39B14456" w14:textId="77777777" w:rsidTr="00B213B2">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1362C34" w14:textId="77777777" w:rsidR="00B213B2" w:rsidRPr="009325D3" w:rsidRDefault="00B213B2" w:rsidP="000B288C">
            <w:pPr>
              <w:pStyle w:val="Titre"/>
              <w:outlineLvl w:val="2"/>
              <w:rPr>
                <w:rFonts w:cs="Calibri"/>
              </w:rPr>
            </w:pPr>
            <w:bookmarkStart w:id="0" w:name="_Toc116053941"/>
            <w:r w:rsidRPr="009325D3">
              <w:rPr>
                <w:rFonts w:cs="Calibri"/>
              </w:rPr>
              <w:t>Action n°45</w:t>
            </w:r>
            <w:bookmarkEnd w:id="0"/>
          </w:p>
          <w:p w14:paraId="464AABE5" w14:textId="77777777" w:rsidR="00B213B2" w:rsidRPr="009325D3" w:rsidRDefault="00B213B2" w:rsidP="000B288C">
            <w:pPr>
              <w:pStyle w:val="Titre"/>
              <w:outlineLvl w:val="2"/>
              <w:rPr>
                <w:rFonts w:cs="Calibri"/>
              </w:rPr>
            </w:pPr>
            <w:bookmarkStart w:id="1" w:name="_Toc116053942"/>
            <w:r w:rsidRPr="009325D3">
              <w:rPr>
                <w:rFonts w:cs="Calibri"/>
              </w:rPr>
              <w:t>Mesures prévention et gestion des risques liés aux inondations et d’adaptation au changement climatique</w:t>
            </w:r>
            <w:bookmarkEnd w:id="1"/>
            <w:r w:rsidRPr="009325D3">
              <w:rPr>
                <w:rFonts w:cs="Calibri"/>
              </w:rPr>
              <w:t xml:space="preserve"> </w:t>
            </w:r>
          </w:p>
        </w:tc>
      </w:tr>
      <w:tr w:rsidR="00B213B2" w:rsidRPr="009325D3" w14:paraId="53EF8185" w14:textId="77777777" w:rsidTr="00B213B2">
        <w:tc>
          <w:tcPr>
            <w:tcW w:w="2614" w:type="dxa"/>
            <w:tcBorders>
              <w:top w:val="single" w:sz="2" w:space="0" w:color="002060"/>
              <w:left w:val="single" w:sz="12" w:space="0" w:color="002060"/>
              <w:bottom w:val="single" w:sz="12" w:space="0" w:color="002060"/>
              <w:right w:val="single" w:sz="2" w:space="0" w:color="002060"/>
            </w:tcBorders>
            <w:vAlign w:val="center"/>
          </w:tcPr>
          <w:p w14:paraId="60977068" w14:textId="77777777" w:rsidR="00B213B2" w:rsidRPr="009325D3" w:rsidRDefault="00B213B2"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CC02577" w14:textId="77777777" w:rsidR="00B213B2" w:rsidRPr="009325D3" w:rsidRDefault="00B213B2"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626A1E58" w14:textId="77777777" w:rsidR="00B213B2" w:rsidRPr="009325D3" w:rsidRDefault="00B213B2"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POI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1C1B0730" w14:textId="77777777" w:rsidR="00B213B2" w:rsidRPr="009325D3" w:rsidRDefault="00B213B2" w:rsidP="000B288C">
            <w:pPr>
              <w:pStyle w:val="Sansinterligne"/>
              <w:jc w:val="center"/>
              <w:rPr>
                <w:rFonts w:ascii="Calibri" w:hAnsi="Calibri" w:cs="Calibri"/>
                <w:sz w:val="20"/>
                <w:szCs w:val="20"/>
              </w:rPr>
            </w:pPr>
            <w:r w:rsidRPr="009325D3">
              <w:rPr>
                <w:rFonts w:ascii="Calibri" w:hAnsi="Calibri" w:cs="Calibri"/>
                <w:sz w:val="20"/>
                <w:szCs w:val="20"/>
              </w:rPr>
              <w:t>Actions n° 1, 2, 3 et 4</w:t>
            </w:r>
          </w:p>
        </w:tc>
      </w:tr>
    </w:tbl>
    <w:p w14:paraId="2648B74A" w14:textId="77777777" w:rsidR="00B213B2" w:rsidRPr="009325D3" w:rsidRDefault="00B213B2" w:rsidP="00B213B2">
      <w:pPr>
        <w:pStyle w:val="Sansinterligne"/>
        <w:jc w:val="both"/>
        <w:rPr>
          <w:rFonts w:ascii="Calibri" w:hAnsi="Calibri" w:cs="Calibri"/>
        </w:rPr>
      </w:pPr>
    </w:p>
    <w:p w14:paraId="4EAC61E8" w14:textId="77777777" w:rsidR="00B213B2" w:rsidRPr="009325D3" w:rsidRDefault="00B213B2" w:rsidP="00B213B2">
      <w:pPr>
        <w:pStyle w:val="Sansinterligne"/>
        <w:jc w:val="center"/>
        <w:rPr>
          <w:rFonts w:ascii="Calibri" w:hAnsi="Calibri" w:cs="Calibri"/>
          <w:b/>
          <w:bCs/>
          <w:color w:val="538135" w:themeColor="accent6" w:themeShade="BF"/>
          <w:sz w:val="28"/>
          <w:szCs w:val="28"/>
        </w:rPr>
      </w:pPr>
      <w:r w:rsidRPr="009325D3">
        <w:rPr>
          <w:rFonts w:ascii="Calibri" w:hAnsi="Calibri" w:cs="Calibri"/>
          <w:b/>
          <w:bCs/>
          <w:color w:val="538135" w:themeColor="accent6" w:themeShade="BF"/>
          <w:sz w:val="28"/>
          <w:szCs w:val="28"/>
        </w:rPr>
        <w:t>Plan Loire Grandeur Nature</w:t>
      </w:r>
    </w:p>
    <w:p w14:paraId="4634DAD2" w14:textId="77777777" w:rsidR="00B213B2" w:rsidRPr="00123CE0" w:rsidRDefault="00B213B2" w:rsidP="00B213B2">
      <w:pPr>
        <w:shd w:val="clear" w:color="auto" w:fill="DEEAF6" w:themeFill="accent5" w:themeFillTint="33"/>
        <w:spacing w:after="0" w:line="240" w:lineRule="auto"/>
        <w:rPr>
          <w:rFonts w:asciiTheme="minorHAnsi" w:hAnsiTheme="minorHAnsi"/>
          <w:b/>
          <w:bCs/>
          <w:color w:val="002060"/>
          <w:sz w:val="28"/>
          <w:szCs w:val="28"/>
        </w:rPr>
      </w:pPr>
      <w:r w:rsidRPr="00123CE0">
        <w:rPr>
          <w:rFonts w:asciiTheme="minorHAnsi" w:hAnsiTheme="minorHAnsi"/>
          <w:b/>
          <w:bCs/>
          <w:color w:val="FFFFFF" w:themeColor="background1"/>
          <w:sz w:val="28"/>
          <w:szCs w:val="28"/>
          <w:shd w:val="clear" w:color="auto" w:fill="002060"/>
        </w:rPr>
        <w:t xml:space="preserve">QUOI ? </w:t>
      </w:r>
      <w:r w:rsidRPr="00123CE0">
        <w:rPr>
          <w:rFonts w:asciiTheme="minorHAnsi" w:hAnsiTheme="minorHAnsi"/>
          <w:b/>
          <w:bCs/>
          <w:color w:val="002060"/>
          <w:sz w:val="28"/>
          <w:szCs w:val="28"/>
        </w:rPr>
        <w:t xml:space="preserve"> Contexte et objectifs</w:t>
      </w:r>
    </w:p>
    <w:p w14:paraId="74BB8673" w14:textId="77777777" w:rsidR="00B213B2" w:rsidRPr="00123CE0" w:rsidRDefault="00B213B2" w:rsidP="00B213B2">
      <w:pPr>
        <w:spacing w:after="0" w:line="240" w:lineRule="auto"/>
        <w:rPr>
          <w:rFonts w:asciiTheme="minorHAnsi" w:hAnsiTheme="minorHAnsi"/>
          <w:sz w:val="22"/>
        </w:rPr>
      </w:pPr>
    </w:p>
    <w:p w14:paraId="5921D3A6"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En cohérence avec les stratégies de gestion du risque inondation il s’agit de réduire les conséquences négatives des inondations sur le bassin de la Loire, en particulier concernant les vies humaines et l’économie des territoires concernés.</w:t>
      </w:r>
    </w:p>
    <w:p w14:paraId="01C17A79" w14:textId="77777777" w:rsidR="00B213B2" w:rsidRDefault="00B213B2" w:rsidP="00B213B2">
      <w:pPr>
        <w:spacing w:after="0" w:line="240" w:lineRule="auto"/>
        <w:rPr>
          <w:rFonts w:asciiTheme="minorHAnsi" w:hAnsiTheme="minorHAnsi"/>
          <w:sz w:val="22"/>
        </w:rPr>
      </w:pPr>
      <w:r w:rsidRPr="00123CE0">
        <w:rPr>
          <w:rFonts w:asciiTheme="minorHAnsi" w:hAnsiTheme="minorHAnsi"/>
          <w:sz w:val="22"/>
        </w:rPr>
        <w:t>Dans ce cadre, des plans d’action territorialisés ont déjà été engagés de façon active en premier lieu au sein des 15 Territoires à Risques Inondation du bassin de la Loire identifiés comme prioritaires et qui regroupent la majorité des enjeux en termes de population du bassin. Par ailleurs, d’autres territoires présentant un risque d’inondation important pourront voir émerger des stratégies de réduction du risque d’inondation à l’initiative des collectivités territoriales concernées.</w:t>
      </w:r>
    </w:p>
    <w:p w14:paraId="76842E66"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noProof/>
          <w:sz w:val="22"/>
        </w:rPr>
        <w:drawing>
          <wp:inline distT="0" distB="0" distL="0" distR="0" wp14:anchorId="241C05AB" wp14:editId="62123142">
            <wp:extent cx="6085604" cy="4564380"/>
            <wp:effectExtent l="0" t="0" r="0" b="7620"/>
            <wp:docPr id="784945397" name="Picture 78494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942" cy="4589385"/>
                    </a:xfrm>
                    <a:prstGeom prst="rect">
                      <a:avLst/>
                    </a:prstGeom>
                    <a:noFill/>
                  </pic:spPr>
                </pic:pic>
              </a:graphicData>
            </a:graphic>
          </wp:inline>
        </w:drawing>
      </w:r>
    </w:p>
    <w:p w14:paraId="47F4F2F9" w14:textId="77777777" w:rsidR="00B213B2" w:rsidRPr="00123CE0" w:rsidRDefault="00B213B2" w:rsidP="00B213B2">
      <w:pPr>
        <w:spacing w:after="0" w:line="240" w:lineRule="auto"/>
        <w:rPr>
          <w:rFonts w:asciiTheme="minorHAnsi" w:hAnsiTheme="minorHAnsi"/>
          <w:sz w:val="22"/>
        </w:rPr>
      </w:pPr>
    </w:p>
    <w:p w14:paraId="1B1A04DD" w14:textId="77777777" w:rsidR="00B213B2" w:rsidRPr="00123CE0" w:rsidRDefault="00B213B2" w:rsidP="00B213B2">
      <w:pPr>
        <w:numPr>
          <w:ilvl w:val="0"/>
          <w:numId w:val="34"/>
        </w:num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 Mettre en œuvre les stratégies territorialisées et cohérentes de réduction du risque inondation grâce aux programmes d’études préalables (PEP) et d’actions de prévention des inondations (PAPI)</w:t>
      </w:r>
    </w:p>
    <w:p w14:paraId="503953EC" w14:textId="77777777" w:rsidR="00B213B2" w:rsidRPr="00123CE0" w:rsidRDefault="00B213B2" w:rsidP="00B213B2">
      <w:pPr>
        <w:spacing w:after="0" w:line="240" w:lineRule="auto"/>
        <w:rPr>
          <w:rFonts w:asciiTheme="minorHAnsi" w:hAnsiTheme="minorHAnsi"/>
          <w:sz w:val="22"/>
        </w:rPr>
      </w:pPr>
    </w:p>
    <w:p w14:paraId="42556312" w14:textId="77777777" w:rsidR="00B213B2" w:rsidRPr="00123CE0" w:rsidRDefault="00B213B2" w:rsidP="00B213B2">
      <w:pPr>
        <w:numPr>
          <w:ilvl w:val="0"/>
          <w:numId w:val="33"/>
        </w:numPr>
        <w:spacing w:after="0" w:line="240" w:lineRule="auto"/>
        <w:rPr>
          <w:rFonts w:asciiTheme="minorHAnsi" w:hAnsiTheme="minorHAnsi"/>
          <w:sz w:val="22"/>
        </w:rPr>
      </w:pPr>
      <w:r w:rsidRPr="00123CE0">
        <w:rPr>
          <w:rFonts w:asciiTheme="minorHAnsi" w:hAnsiTheme="minorHAnsi"/>
          <w:sz w:val="22"/>
        </w:rPr>
        <w:t>La mise en œuvre de ces programmes sur les territoires à risque important d’inondation</w:t>
      </w:r>
      <w:r>
        <w:rPr>
          <w:rFonts w:asciiTheme="minorHAnsi" w:hAnsiTheme="minorHAnsi"/>
          <w:sz w:val="22"/>
        </w:rPr>
        <w:t>,</w:t>
      </w:r>
    </w:p>
    <w:p w14:paraId="60C67750" w14:textId="77777777" w:rsidR="00B213B2" w:rsidRPr="00123CE0" w:rsidRDefault="00B213B2" w:rsidP="00B213B2">
      <w:pPr>
        <w:numPr>
          <w:ilvl w:val="0"/>
          <w:numId w:val="33"/>
        </w:numPr>
        <w:spacing w:after="0" w:line="240" w:lineRule="auto"/>
        <w:rPr>
          <w:rFonts w:asciiTheme="minorHAnsi" w:hAnsiTheme="minorHAnsi"/>
          <w:sz w:val="22"/>
        </w:rPr>
      </w:pPr>
      <w:r w:rsidRPr="00123CE0">
        <w:rPr>
          <w:rFonts w:asciiTheme="minorHAnsi" w:hAnsiTheme="minorHAnsi"/>
          <w:sz w:val="22"/>
        </w:rPr>
        <w:lastRenderedPageBreak/>
        <w:t>TRI (15 territoires sur le bassin de la Loire) et sur les 9 unités urbaines (</w:t>
      </w:r>
      <w:r w:rsidRPr="00123CE0">
        <w:rPr>
          <w:rFonts w:asciiTheme="minorHAnsi" w:hAnsiTheme="minorHAnsi"/>
          <w:i/>
          <w:iCs/>
          <w:sz w:val="22"/>
        </w:rPr>
        <w:t>cf.</w:t>
      </w:r>
      <w:r w:rsidRPr="00123CE0">
        <w:rPr>
          <w:rFonts w:asciiTheme="minorHAnsi" w:hAnsiTheme="minorHAnsi"/>
          <w:sz w:val="22"/>
        </w:rPr>
        <w:t xml:space="preserve"> territoires éligibles) contribuera à l’objectif spécifique par la réduction attendue de la vulnérabilité au risque inondation des territoires et des populations situées dans les zones à risques repérées et considérées comme prioritaires.</w:t>
      </w:r>
    </w:p>
    <w:p w14:paraId="38DC26BB" w14:textId="77777777" w:rsidR="00B213B2" w:rsidRPr="00123CE0" w:rsidRDefault="00B213B2" w:rsidP="00B213B2">
      <w:pPr>
        <w:spacing w:after="0" w:line="240" w:lineRule="auto"/>
        <w:ind w:left="720"/>
        <w:rPr>
          <w:rFonts w:asciiTheme="minorHAnsi" w:hAnsiTheme="minorHAnsi"/>
          <w:sz w:val="22"/>
        </w:rPr>
      </w:pPr>
    </w:p>
    <w:p w14:paraId="70C6B8A2" w14:textId="77777777" w:rsidR="00B213B2" w:rsidRPr="00123CE0" w:rsidRDefault="00B213B2" w:rsidP="00B213B2">
      <w:pPr>
        <w:numPr>
          <w:ilvl w:val="0"/>
          <w:numId w:val="34"/>
        </w:num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 Usage des infrastructures naturelles dans la gestion du risque d’inondation</w:t>
      </w:r>
    </w:p>
    <w:p w14:paraId="12A623DA" w14:textId="77777777" w:rsidR="00B213B2" w:rsidRPr="00123CE0" w:rsidRDefault="00B213B2" w:rsidP="00B213B2">
      <w:pPr>
        <w:spacing w:after="0" w:line="240" w:lineRule="auto"/>
        <w:rPr>
          <w:rFonts w:asciiTheme="minorHAnsi" w:hAnsiTheme="minorHAnsi"/>
          <w:b/>
          <w:bCs/>
          <w:color w:val="002060"/>
          <w:sz w:val="22"/>
        </w:rPr>
      </w:pPr>
    </w:p>
    <w:p w14:paraId="0ABA258F"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En intervenant sur la capacité d’écoulement de la Loire et de ses affluents et en préservant les espaces inondables ainsi que les champs d’expansion des crues, les mesures proposées permettent un écrêtement efficace des crues et contribuent ainsi à réduire l’aléa inondation par l’usage des infrastructures naturelles.</w:t>
      </w:r>
    </w:p>
    <w:p w14:paraId="223F9DBE" w14:textId="77777777" w:rsidR="00B213B2" w:rsidRPr="00123CE0" w:rsidRDefault="00B213B2" w:rsidP="00B213B2">
      <w:pPr>
        <w:spacing w:after="0" w:line="240" w:lineRule="auto"/>
        <w:rPr>
          <w:rFonts w:asciiTheme="minorHAnsi" w:hAnsiTheme="minorHAnsi"/>
          <w:sz w:val="22"/>
        </w:rPr>
      </w:pPr>
    </w:p>
    <w:p w14:paraId="7D933DBD" w14:textId="77777777" w:rsidR="00B213B2" w:rsidRPr="00123CE0" w:rsidRDefault="00B213B2" w:rsidP="00B213B2">
      <w:pPr>
        <w:numPr>
          <w:ilvl w:val="0"/>
          <w:numId w:val="34"/>
        </w:numPr>
        <w:spacing w:after="0" w:line="240" w:lineRule="auto"/>
        <w:rPr>
          <w:rFonts w:asciiTheme="minorHAnsi" w:hAnsiTheme="minorHAnsi"/>
          <w:b/>
          <w:bCs/>
          <w:color w:val="002060"/>
          <w:sz w:val="22"/>
        </w:rPr>
      </w:pPr>
      <w:r w:rsidRPr="00123CE0">
        <w:rPr>
          <w:rFonts w:asciiTheme="minorHAnsi" w:hAnsiTheme="minorHAnsi"/>
          <w:b/>
          <w:bCs/>
          <w:color w:val="002060"/>
          <w:sz w:val="22"/>
        </w:rPr>
        <w:t>Développement, acquisition et partage des connaissances sur le risque et la prévention des inondations</w:t>
      </w:r>
    </w:p>
    <w:p w14:paraId="14B472F3" w14:textId="77777777" w:rsidR="00B213B2" w:rsidRPr="00123CE0" w:rsidRDefault="00B213B2" w:rsidP="00B213B2">
      <w:pPr>
        <w:spacing w:after="0" w:line="240" w:lineRule="auto"/>
        <w:rPr>
          <w:rFonts w:asciiTheme="minorHAnsi" w:hAnsiTheme="minorHAnsi"/>
          <w:sz w:val="22"/>
        </w:rPr>
      </w:pPr>
    </w:p>
    <w:p w14:paraId="69AA8E58"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La mise en œuvre des mesures concernées contribuera à l’objectif spécifique par :</w:t>
      </w:r>
    </w:p>
    <w:p w14:paraId="4F23BD67"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w:t>
      </w:r>
      <w:r w:rsidRPr="00123CE0">
        <w:rPr>
          <w:rFonts w:asciiTheme="minorHAnsi" w:hAnsiTheme="minorHAnsi"/>
          <w:sz w:val="22"/>
        </w:rPr>
        <w:tab/>
        <w:t>Le développement de la connaissance à visée opérationnelle portant sur des thématiques nécessaires aux orientations stratégiques du Plan Loire,</w:t>
      </w:r>
    </w:p>
    <w:p w14:paraId="292606CA"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w:t>
      </w:r>
      <w:r w:rsidRPr="00123CE0">
        <w:rPr>
          <w:rFonts w:asciiTheme="minorHAnsi" w:hAnsiTheme="minorHAnsi"/>
          <w:sz w:val="22"/>
        </w:rPr>
        <w:tab/>
        <w:t>L’amélioration de la capacité collective des acteurs à répondre aux enjeux identifiés sur le bassin de la Loire,</w:t>
      </w:r>
    </w:p>
    <w:p w14:paraId="32DF3C37"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w:t>
      </w:r>
      <w:r w:rsidRPr="00123CE0">
        <w:rPr>
          <w:rFonts w:asciiTheme="minorHAnsi" w:hAnsiTheme="minorHAnsi"/>
          <w:sz w:val="22"/>
        </w:rPr>
        <w:tab/>
        <w:t>Le soutien à des projets innovants et exemplaires au service de la dynamique d’action territoriale,</w:t>
      </w:r>
    </w:p>
    <w:p w14:paraId="3915D2BD"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w:t>
      </w:r>
      <w:r w:rsidRPr="00123CE0">
        <w:rPr>
          <w:rFonts w:asciiTheme="minorHAnsi" w:hAnsiTheme="minorHAnsi"/>
          <w:sz w:val="22"/>
        </w:rPr>
        <w:tab/>
        <w:t>Une coopération favorisée, renforcée, entre chercheurs et gestionnaires,</w:t>
      </w:r>
    </w:p>
    <w:p w14:paraId="15425E73"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Un renforcement du partage et de la valorisation de la connaissance, des retours d’expériences, … auprès de chaque communauté d’acteurs du bassin de la Loire (chercheurs, gestionnaires, élus, grand public, …).</w:t>
      </w:r>
    </w:p>
    <w:p w14:paraId="2E2E27B0" w14:textId="77777777" w:rsidR="00B213B2" w:rsidRPr="00123CE0" w:rsidRDefault="00B213B2" w:rsidP="00B213B2">
      <w:pPr>
        <w:spacing w:after="0" w:line="240" w:lineRule="auto"/>
        <w:rPr>
          <w:rFonts w:asciiTheme="minorHAnsi" w:hAnsiTheme="minorHAnsi"/>
          <w:sz w:val="22"/>
        </w:rPr>
      </w:pPr>
    </w:p>
    <w:p w14:paraId="3BB55079" w14:textId="77777777" w:rsidR="00B213B2" w:rsidRPr="00123CE0" w:rsidRDefault="00B213B2" w:rsidP="00B213B2">
      <w:pPr>
        <w:shd w:val="clear" w:color="auto" w:fill="DEEAF6" w:themeFill="accent5" w:themeFillTint="33"/>
        <w:spacing w:after="0" w:line="240" w:lineRule="auto"/>
        <w:rPr>
          <w:rFonts w:asciiTheme="minorHAnsi" w:hAnsiTheme="minorHAnsi"/>
          <w:b/>
          <w:bCs/>
          <w:color w:val="002060"/>
          <w:sz w:val="28"/>
          <w:szCs w:val="28"/>
        </w:rPr>
      </w:pPr>
      <w:r w:rsidRPr="00123CE0">
        <w:rPr>
          <w:rFonts w:asciiTheme="minorHAnsi" w:hAnsiTheme="minorHAnsi"/>
          <w:b/>
          <w:bCs/>
          <w:color w:val="FFFFFF" w:themeColor="background1"/>
          <w:sz w:val="28"/>
          <w:szCs w:val="28"/>
          <w:shd w:val="clear" w:color="auto" w:fill="002060"/>
        </w:rPr>
        <w:t xml:space="preserve">QUOI ? </w:t>
      </w:r>
      <w:r w:rsidRPr="00123CE0">
        <w:rPr>
          <w:rFonts w:asciiTheme="minorHAnsi" w:hAnsiTheme="minorHAnsi"/>
          <w:b/>
          <w:bCs/>
          <w:color w:val="002060"/>
          <w:sz w:val="28"/>
          <w:szCs w:val="28"/>
        </w:rPr>
        <w:t xml:space="preserve"> Description des interventions soutenues dans le Programme</w:t>
      </w:r>
    </w:p>
    <w:p w14:paraId="35DCFB03" w14:textId="77777777" w:rsidR="00B213B2" w:rsidRPr="00123CE0" w:rsidRDefault="00B213B2" w:rsidP="00B213B2">
      <w:pPr>
        <w:spacing w:after="0" w:line="240" w:lineRule="auto"/>
        <w:rPr>
          <w:rFonts w:asciiTheme="minorHAnsi" w:hAnsiTheme="minorHAnsi"/>
          <w:sz w:val="22"/>
        </w:rPr>
      </w:pPr>
    </w:p>
    <w:p w14:paraId="79967FBF" w14:textId="77777777" w:rsidR="00B213B2" w:rsidRPr="00123CE0" w:rsidRDefault="00B213B2" w:rsidP="00B213B2">
      <w:pPr>
        <w:numPr>
          <w:ilvl w:val="1"/>
          <w:numId w:val="36"/>
        </w:numPr>
        <w:spacing w:after="0" w:line="240" w:lineRule="auto"/>
        <w:rPr>
          <w:rFonts w:asciiTheme="minorHAnsi" w:hAnsiTheme="minorHAnsi"/>
          <w:b/>
          <w:bCs/>
          <w:color w:val="002060"/>
          <w:sz w:val="22"/>
        </w:rPr>
      </w:pPr>
      <w:r w:rsidRPr="00123CE0">
        <w:rPr>
          <w:rFonts w:asciiTheme="minorHAnsi" w:hAnsiTheme="minorHAnsi"/>
          <w:b/>
          <w:bCs/>
          <w:color w:val="002060"/>
          <w:sz w:val="22"/>
        </w:rPr>
        <w:t>Mettre en œuvre les stratégies territorialisées et cohérentes de réduction du risque inondation grâce aux programmes d’études préalables (PEP) et d’actions de prévention des inondations (PAPI)</w:t>
      </w:r>
    </w:p>
    <w:p w14:paraId="1DAFC48A" w14:textId="77777777" w:rsidR="00B213B2" w:rsidRPr="00123CE0" w:rsidRDefault="00B213B2" w:rsidP="00B213B2">
      <w:pPr>
        <w:spacing w:after="0" w:line="240" w:lineRule="auto"/>
        <w:rPr>
          <w:rFonts w:asciiTheme="minorHAnsi" w:hAnsiTheme="minorHAnsi"/>
          <w:sz w:val="22"/>
        </w:rPr>
      </w:pPr>
    </w:p>
    <w:p w14:paraId="7B13A93D" w14:textId="77777777" w:rsidR="00B213B2" w:rsidRPr="00123CE0" w:rsidRDefault="00B213B2" w:rsidP="00B213B2">
      <w:pPr>
        <w:numPr>
          <w:ilvl w:val="0"/>
          <w:numId w:val="35"/>
        </w:numPr>
        <w:spacing w:after="0" w:line="240" w:lineRule="auto"/>
        <w:rPr>
          <w:rFonts w:asciiTheme="minorHAnsi" w:hAnsiTheme="minorHAnsi"/>
          <w:sz w:val="22"/>
        </w:rPr>
      </w:pPr>
      <w:r w:rsidRPr="00123CE0">
        <w:rPr>
          <w:rFonts w:asciiTheme="minorHAnsi" w:hAnsiTheme="minorHAnsi"/>
          <w:sz w:val="22"/>
        </w:rPr>
        <w:t>Actions mutualisées d’animation, de sensibilisation, d’information et de communication sur le risque inondation (population, élus, …) consistant en dispositifs d’information, de sensibilisation, de conseils et d’expertise adaptées aux enjeux et aux différents types de public, et permettant la création d’un environnement favorable à la prise en compte du risque d’inondation,</w:t>
      </w:r>
    </w:p>
    <w:p w14:paraId="3C507176" w14:textId="77777777" w:rsidR="00B213B2" w:rsidRPr="00123CE0" w:rsidRDefault="00B213B2" w:rsidP="00B213B2">
      <w:pPr>
        <w:spacing w:after="0" w:line="240" w:lineRule="auto"/>
        <w:rPr>
          <w:rFonts w:asciiTheme="minorHAnsi" w:hAnsiTheme="minorHAnsi"/>
          <w:sz w:val="22"/>
        </w:rPr>
      </w:pPr>
    </w:p>
    <w:p w14:paraId="751D8FB6" w14:textId="77777777" w:rsidR="00B213B2" w:rsidRPr="00123CE0" w:rsidRDefault="00B213B2" w:rsidP="00B213B2">
      <w:pPr>
        <w:numPr>
          <w:ilvl w:val="0"/>
          <w:numId w:val="35"/>
        </w:numPr>
        <w:spacing w:after="0" w:line="240" w:lineRule="auto"/>
        <w:rPr>
          <w:rFonts w:asciiTheme="minorHAnsi" w:hAnsiTheme="minorHAnsi"/>
          <w:sz w:val="22"/>
        </w:rPr>
      </w:pPr>
      <w:r w:rsidRPr="00123CE0">
        <w:rPr>
          <w:rFonts w:asciiTheme="minorHAnsi" w:hAnsiTheme="minorHAnsi"/>
          <w:sz w:val="22"/>
        </w:rPr>
        <w:t>Promotion des démarches de sensibilisation sur la réduction de vulnérabilité (équipement, services, entreprises, habitations …),</w:t>
      </w:r>
    </w:p>
    <w:p w14:paraId="0A1F1CC7" w14:textId="77777777" w:rsidR="00B213B2" w:rsidRPr="00123CE0" w:rsidRDefault="00B213B2" w:rsidP="00B213B2">
      <w:pPr>
        <w:spacing w:after="0" w:line="240" w:lineRule="auto"/>
        <w:rPr>
          <w:rFonts w:asciiTheme="minorHAnsi" w:hAnsiTheme="minorHAnsi"/>
          <w:sz w:val="22"/>
        </w:rPr>
      </w:pPr>
    </w:p>
    <w:p w14:paraId="669FA1E2" w14:textId="77777777" w:rsidR="00B213B2" w:rsidRPr="00123CE0" w:rsidRDefault="00B213B2" w:rsidP="00B213B2">
      <w:pPr>
        <w:numPr>
          <w:ilvl w:val="0"/>
          <w:numId w:val="35"/>
        </w:numPr>
        <w:spacing w:after="0" w:line="240" w:lineRule="auto"/>
        <w:rPr>
          <w:rFonts w:asciiTheme="minorHAnsi" w:hAnsiTheme="minorHAnsi"/>
          <w:sz w:val="22"/>
        </w:rPr>
      </w:pPr>
      <w:r w:rsidRPr="00123CE0">
        <w:rPr>
          <w:rFonts w:asciiTheme="minorHAnsi" w:hAnsiTheme="minorHAnsi"/>
          <w:sz w:val="22"/>
        </w:rPr>
        <w:t>Mise en place de plans de sûreté intercommunaux utiles à la gestion de crise visant à réaliser ou à appuyer la réalisation de Plans de Continuité d’Activités dans les collectivités territoriales (intégrant un volet Plan Communal de Sauvegarde),</w:t>
      </w:r>
    </w:p>
    <w:p w14:paraId="15123FA9" w14:textId="77777777" w:rsidR="00B213B2" w:rsidRPr="00123CE0" w:rsidRDefault="00B213B2" w:rsidP="00B213B2">
      <w:pPr>
        <w:spacing w:after="0" w:line="240" w:lineRule="auto"/>
        <w:rPr>
          <w:rFonts w:asciiTheme="minorHAnsi" w:hAnsiTheme="minorHAnsi"/>
          <w:sz w:val="22"/>
        </w:rPr>
      </w:pPr>
    </w:p>
    <w:p w14:paraId="7820E0BA" w14:textId="77777777" w:rsidR="00B213B2" w:rsidRPr="00123CE0" w:rsidRDefault="00B213B2" w:rsidP="00B213B2">
      <w:pPr>
        <w:numPr>
          <w:ilvl w:val="0"/>
          <w:numId w:val="35"/>
        </w:numPr>
        <w:spacing w:after="0" w:line="240" w:lineRule="auto"/>
        <w:rPr>
          <w:rFonts w:asciiTheme="minorHAnsi" w:hAnsiTheme="minorHAnsi"/>
          <w:sz w:val="22"/>
        </w:rPr>
      </w:pPr>
      <w:r w:rsidRPr="00123CE0">
        <w:rPr>
          <w:rFonts w:asciiTheme="minorHAnsi" w:hAnsiTheme="minorHAnsi"/>
          <w:sz w:val="22"/>
        </w:rPr>
        <w:t>Accompagnement à la mise en compatibilité des documents d'urbanisme avec le plan de gestion risque inondation du bassin Loire-Bretagne,</w:t>
      </w:r>
    </w:p>
    <w:p w14:paraId="205A3177" w14:textId="77777777" w:rsidR="00B213B2" w:rsidRPr="00123CE0" w:rsidRDefault="00B213B2" w:rsidP="00B213B2">
      <w:pPr>
        <w:spacing w:after="0" w:line="240" w:lineRule="auto"/>
        <w:rPr>
          <w:rFonts w:asciiTheme="minorHAnsi" w:hAnsiTheme="minorHAnsi"/>
          <w:sz w:val="22"/>
        </w:rPr>
      </w:pPr>
    </w:p>
    <w:p w14:paraId="3F28594E" w14:textId="77777777" w:rsidR="00B213B2" w:rsidRPr="00123CE0" w:rsidRDefault="00B213B2" w:rsidP="00B213B2">
      <w:pPr>
        <w:numPr>
          <w:ilvl w:val="0"/>
          <w:numId w:val="35"/>
        </w:numPr>
        <w:spacing w:after="0" w:line="240" w:lineRule="auto"/>
        <w:rPr>
          <w:rFonts w:asciiTheme="minorHAnsi" w:hAnsiTheme="minorHAnsi"/>
          <w:sz w:val="22"/>
        </w:rPr>
      </w:pPr>
      <w:r w:rsidRPr="00123CE0">
        <w:rPr>
          <w:rFonts w:asciiTheme="minorHAnsi" w:hAnsiTheme="minorHAnsi"/>
          <w:sz w:val="22"/>
        </w:rPr>
        <w:t>Valorisation des initiatives des collectivités en matière d'aménagement et d'urbanisme ou mise en place de projets démonstrateurs / démarches reconnues comme exemplaires et innovants.</w:t>
      </w:r>
    </w:p>
    <w:p w14:paraId="09F6CC39" w14:textId="77777777" w:rsidR="00B213B2" w:rsidRPr="00123CE0" w:rsidRDefault="00B213B2" w:rsidP="00B213B2">
      <w:pPr>
        <w:spacing w:after="0" w:line="240" w:lineRule="auto"/>
        <w:rPr>
          <w:rFonts w:asciiTheme="minorHAnsi" w:hAnsiTheme="minorHAnsi"/>
          <w:sz w:val="22"/>
        </w:rPr>
      </w:pPr>
    </w:p>
    <w:p w14:paraId="5C0553BD" w14:textId="77777777" w:rsidR="00B213B2" w:rsidRPr="00123CE0" w:rsidRDefault="00B213B2" w:rsidP="00B213B2">
      <w:pPr>
        <w:numPr>
          <w:ilvl w:val="1"/>
          <w:numId w:val="36"/>
        </w:numPr>
        <w:spacing w:after="0" w:line="240" w:lineRule="auto"/>
        <w:rPr>
          <w:rFonts w:asciiTheme="minorHAnsi" w:hAnsiTheme="minorHAnsi"/>
          <w:b/>
          <w:bCs/>
          <w:color w:val="002060"/>
          <w:sz w:val="22"/>
        </w:rPr>
      </w:pPr>
      <w:r w:rsidRPr="00123CE0">
        <w:rPr>
          <w:rFonts w:asciiTheme="minorHAnsi" w:hAnsiTheme="minorHAnsi"/>
          <w:b/>
          <w:bCs/>
          <w:color w:val="002060"/>
          <w:sz w:val="22"/>
        </w:rPr>
        <w:t>Usage des infrastructures naturelles dans la gestion du risque inondation</w:t>
      </w:r>
    </w:p>
    <w:p w14:paraId="536A59DE" w14:textId="77777777" w:rsidR="00B213B2" w:rsidRPr="00123CE0" w:rsidRDefault="00B213B2" w:rsidP="00B213B2">
      <w:pPr>
        <w:spacing w:after="0" w:line="240" w:lineRule="auto"/>
        <w:ind w:left="720"/>
        <w:rPr>
          <w:rFonts w:asciiTheme="minorHAnsi" w:hAnsiTheme="minorHAnsi"/>
          <w:b/>
          <w:bCs/>
          <w:color w:val="002060"/>
          <w:sz w:val="22"/>
        </w:rPr>
      </w:pPr>
    </w:p>
    <w:p w14:paraId="32067C2E"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t>Améliorer les capacités d’écoulement de la Loire et de ses affluents qui se traduira par le soutien aux opérations de travaux de restauration du lit du fleuve et des affluents identifiés dans l’étude d’évolution du lit de la Loire (DREAL) ou par des plans de gestion intégrés de la végétation et ayant un objectif de réduction inondation,</w:t>
      </w:r>
    </w:p>
    <w:p w14:paraId="3DD6C515" w14:textId="77777777" w:rsidR="00B213B2" w:rsidRPr="00123CE0" w:rsidRDefault="00B213B2" w:rsidP="00B213B2">
      <w:pPr>
        <w:spacing w:after="0" w:line="240" w:lineRule="auto"/>
        <w:rPr>
          <w:rFonts w:asciiTheme="minorHAnsi" w:hAnsiTheme="minorHAnsi"/>
          <w:sz w:val="22"/>
        </w:rPr>
      </w:pPr>
    </w:p>
    <w:p w14:paraId="73537E55"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t xml:space="preserve">Assurer la préservation des champs d'expansion de crues (zones inondables non urbanisées) et des espaces de mobilité de la Loire bourguignonne, de l’Allier à l’aval de Vieille Brioude, de la Loire entre </w:t>
      </w:r>
      <w:proofErr w:type="spellStart"/>
      <w:r w:rsidRPr="00123CE0">
        <w:rPr>
          <w:rFonts w:asciiTheme="minorHAnsi" w:hAnsiTheme="minorHAnsi"/>
          <w:sz w:val="22"/>
        </w:rPr>
        <w:t>Grangent</w:t>
      </w:r>
      <w:proofErr w:type="spellEnd"/>
      <w:r w:rsidRPr="00123CE0">
        <w:rPr>
          <w:rFonts w:asciiTheme="minorHAnsi" w:hAnsiTheme="minorHAnsi"/>
          <w:sz w:val="22"/>
        </w:rPr>
        <w:t xml:space="preserve"> et Villerest, au travers des documents d'urbanisme (SCOT et PLU), par la maîtrise foncière et la réalisation de plans de gestion sur ces espaces favorisés,</w:t>
      </w:r>
    </w:p>
    <w:p w14:paraId="65227C8F" w14:textId="77777777" w:rsidR="00B213B2" w:rsidRPr="00123CE0" w:rsidRDefault="00B213B2" w:rsidP="00B213B2">
      <w:pPr>
        <w:spacing w:after="0" w:line="240" w:lineRule="auto"/>
        <w:rPr>
          <w:rFonts w:asciiTheme="minorHAnsi" w:hAnsiTheme="minorHAnsi"/>
          <w:sz w:val="22"/>
        </w:rPr>
      </w:pPr>
    </w:p>
    <w:p w14:paraId="7711798D"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lastRenderedPageBreak/>
        <w:t xml:space="preserve">Intervenir sur les champs d’expansion de crues notamment sur les champs d’expansion existants qui permettront de rendre en fonction et d’aménager des zones d’écoulement à l’aval des déversoirs inscrits dans les stratégies territorialisées de réduction du risque inondation. </w:t>
      </w:r>
    </w:p>
    <w:p w14:paraId="7470FCDF" w14:textId="77777777" w:rsidR="00B213B2" w:rsidRPr="00123CE0" w:rsidRDefault="00B213B2" w:rsidP="00B213B2">
      <w:pPr>
        <w:spacing w:after="0" w:line="240" w:lineRule="auto"/>
        <w:rPr>
          <w:rFonts w:asciiTheme="minorHAnsi" w:hAnsiTheme="minorHAnsi"/>
          <w:sz w:val="22"/>
        </w:rPr>
      </w:pPr>
    </w:p>
    <w:p w14:paraId="2DA1F185" w14:textId="77777777" w:rsidR="00B213B2" w:rsidRPr="00123CE0" w:rsidRDefault="00B213B2" w:rsidP="00B213B2">
      <w:pPr>
        <w:numPr>
          <w:ilvl w:val="1"/>
          <w:numId w:val="36"/>
        </w:numPr>
        <w:spacing w:after="0" w:line="240" w:lineRule="auto"/>
        <w:jc w:val="left"/>
        <w:rPr>
          <w:rFonts w:asciiTheme="minorHAnsi" w:hAnsiTheme="minorHAnsi"/>
          <w:b/>
          <w:bCs/>
          <w:color w:val="002060"/>
          <w:sz w:val="22"/>
        </w:rPr>
      </w:pPr>
      <w:r w:rsidRPr="00123CE0">
        <w:rPr>
          <w:rFonts w:asciiTheme="minorHAnsi" w:hAnsiTheme="minorHAnsi"/>
          <w:b/>
          <w:bCs/>
          <w:color w:val="002060"/>
          <w:sz w:val="22"/>
        </w:rPr>
        <w:t>Développement, acquisition et partage des connaissances sur le risque et la prévention des inondations</w:t>
      </w:r>
    </w:p>
    <w:p w14:paraId="38BB548F" w14:textId="77777777" w:rsidR="00B213B2" w:rsidRPr="00123CE0" w:rsidRDefault="00B213B2" w:rsidP="00B213B2">
      <w:pPr>
        <w:spacing w:after="0" w:line="240" w:lineRule="auto"/>
        <w:rPr>
          <w:rFonts w:asciiTheme="minorHAnsi" w:hAnsiTheme="minorHAnsi"/>
          <w:sz w:val="22"/>
        </w:rPr>
      </w:pPr>
    </w:p>
    <w:p w14:paraId="05A7B23E"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Les projets soutenus porteront sur :</w:t>
      </w:r>
    </w:p>
    <w:p w14:paraId="0D6DA228"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t xml:space="preserve">Les programmes de recherche et d’acquisition de connaissances définis à partir d’enjeux opérationnels du bassin de la Loire sur la problématique du risque et prévention des inondations. Ils pourront prendre en compte les autres thématiques repérées – continuité/zone humide/patrimoine naturel – ainsi que celle du changement climatique, </w:t>
      </w:r>
    </w:p>
    <w:p w14:paraId="41F2A3C2"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t>La réalisation d’outils d’observation et de suivi pour orienter, piloter les actions innovantes et les projets,</w:t>
      </w:r>
    </w:p>
    <w:p w14:paraId="14813168" w14:textId="77777777" w:rsidR="00B213B2" w:rsidRPr="00123CE0" w:rsidRDefault="00B213B2" w:rsidP="00B213B2">
      <w:pPr>
        <w:numPr>
          <w:ilvl w:val="0"/>
          <w:numId w:val="37"/>
        </w:numPr>
        <w:spacing w:after="0" w:line="240" w:lineRule="auto"/>
        <w:rPr>
          <w:rFonts w:asciiTheme="minorHAnsi" w:hAnsiTheme="minorHAnsi"/>
          <w:sz w:val="22"/>
        </w:rPr>
      </w:pPr>
      <w:r w:rsidRPr="00123CE0">
        <w:rPr>
          <w:rFonts w:asciiTheme="minorHAnsi" w:hAnsiTheme="minorHAnsi"/>
          <w:sz w:val="22"/>
        </w:rPr>
        <w:t>Viseront à partager et à valoriser des programmes de recherche ou d’acquisition de données soutenues.</w:t>
      </w:r>
    </w:p>
    <w:p w14:paraId="3B5113C9" w14:textId="77777777" w:rsidR="00B213B2" w:rsidRDefault="00B213B2" w:rsidP="00B213B2">
      <w:pPr>
        <w:spacing w:after="0" w:line="240" w:lineRule="auto"/>
        <w:rPr>
          <w:rFonts w:asciiTheme="minorHAnsi" w:hAnsiTheme="minorHAnsi"/>
          <w:sz w:val="22"/>
        </w:rPr>
      </w:pPr>
    </w:p>
    <w:p w14:paraId="3070D7EB"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 xml:space="preserve">Dans ce cadre, un partenariat ou une coopération entre chercheurs et gestionnaires doit être favorisé pour atteindre cet objectif. Il s’agira à ce titre de : </w:t>
      </w:r>
    </w:p>
    <w:p w14:paraId="74181A4D" w14:textId="77777777" w:rsidR="00B213B2" w:rsidRPr="00123CE0" w:rsidRDefault="00B213B2" w:rsidP="00B213B2">
      <w:pPr>
        <w:numPr>
          <w:ilvl w:val="0"/>
          <w:numId w:val="39"/>
        </w:numPr>
        <w:spacing w:after="0" w:line="240" w:lineRule="auto"/>
        <w:rPr>
          <w:rFonts w:asciiTheme="minorHAnsi" w:hAnsiTheme="minorHAnsi"/>
          <w:sz w:val="22"/>
        </w:rPr>
      </w:pPr>
      <w:r w:rsidRPr="00123CE0">
        <w:rPr>
          <w:rFonts w:asciiTheme="minorHAnsi" w:hAnsiTheme="minorHAnsi"/>
          <w:sz w:val="22"/>
        </w:rPr>
        <w:t>Assurer le transfert de la connaissance produite,</w:t>
      </w:r>
    </w:p>
    <w:p w14:paraId="5BB5E432" w14:textId="77777777" w:rsidR="00B213B2" w:rsidRPr="00123CE0" w:rsidRDefault="00B213B2" w:rsidP="00B213B2">
      <w:pPr>
        <w:numPr>
          <w:ilvl w:val="0"/>
          <w:numId w:val="39"/>
        </w:numPr>
        <w:spacing w:after="0" w:line="240" w:lineRule="auto"/>
        <w:rPr>
          <w:rFonts w:asciiTheme="minorHAnsi" w:hAnsiTheme="minorHAnsi"/>
          <w:sz w:val="22"/>
        </w:rPr>
      </w:pPr>
      <w:r w:rsidRPr="00123CE0">
        <w:rPr>
          <w:rFonts w:asciiTheme="minorHAnsi" w:hAnsiTheme="minorHAnsi"/>
          <w:sz w:val="22"/>
        </w:rPr>
        <w:t>Valoriser les produits de ces travaux de recherche auprès des gestionnaires des espaces concernés,</w:t>
      </w:r>
    </w:p>
    <w:p w14:paraId="6C00457A" w14:textId="77777777" w:rsidR="00B213B2" w:rsidRPr="00123CE0" w:rsidRDefault="00B213B2" w:rsidP="00B213B2">
      <w:pPr>
        <w:numPr>
          <w:ilvl w:val="0"/>
          <w:numId w:val="39"/>
        </w:numPr>
        <w:spacing w:after="0" w:line="240" w:lineRule="auto"/>
        <w:rPr>
          <w:rFonts w:asciiTheme="minorHAnsi" w:hAnsiTheme="minorHAnsi"/>
          <w:sz w:val="22"/>
        </w:rPr>
      </w:pPr>
      <w:r w:rsidRPr="00123CE0">
        <w:rPr>
          <w:rFonts w:asciiTheme="minorHAnsi" w:hAnsiTheme="minorHAnsi"/>
          <w:sz w:val="22"/>
        </w:rPr>
        <w:t>Alimenter les bases de données ou documentaires initiées lors des Plans Loire précédents.</w:t>
      </w:r>
    </w:p>
    <w:p w14:paraId="61764810" w14:textId="77777777" w:rsidR="00B213B2" w:rsidRPr="00123CE0" w:rsidRDefault="00B213B2" w:rsidP="00B213B2">
      <w:pPr>
        <w:numPr>
          <w:ilvl w:val="0"/>
          <w:numId w:val="39"/>
        </w:numPr>
        <w:spacing w:after="0" w:line="240" w:lineRule="auto"/>
        <w:rPr>
          <w:rFonts w:asciiTheme="minorHAnsi" w:hAnsiTheme="minorHAnsi"/>
          <w:sz w:val="22"/>
        </w:rPr>
      </w:pPr>
      <w:r w:rsidRPr="00123CE0">
        <w:rPr>
          <w:rFonts w:asciiTheme="minorHAnsi" w:hAnsiTheme="minorHAnsi"/>
          <w:sz w:val="22"/>
        </w:rPr>
        <w:t>Produire les outils finaux mobilisables et duplicables par les porteurs de projets territoriaux.</w:t>
      </w:r>
    </w:p>
    <w:p w14:paraId="11B779A3" w14:textId="77777777" w:rsidR="00B213B2" w:rsidRPr="00123CE0" w:rsidRDefault="00B213B2" w:rsidP="00B213B2">
      <w:pPr>
        <w:spacing w:after="0" w:line="240" w:lineRule="auto"/>
        <w:rPr>
          <w:rFonts w:asciiTheme="minorHAnsi" w:hAnsiTheme="minorHAnsi"/>
          <w:sz w:val="22"/>
        </w:rPr>
      </w:pPr>
    </w:p>
    <w:p w14:paraId="46C2244D" w14:textId="77777777" w:rsidR="00B213B2" w:rsidRPr="00123CE0" w:rsidRDefault="00B213B2" w:rsidP="00B213B2">
      <w:pPr>
        <w:shd w:val="clear" w:color="auto" w:fill="B3FFEB"/>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00CC99"/>
        </w:rPr>
        <w:t xml:space="preserve">QUI ?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Bénéficiaires potentiels</w:t>
      </w:r>
    </w:p>
    <w:p w14:paraId="20F77FC2" w14:textId="77777777" w:rsidR="00B213B2" w:rsidRPr="00123CE0" w:rsidRDefault="00B213B2" w:rsidP="00B213B2">
      <w:pPr>
        <w:spacing w:after="0" w:line="240" w:lineRule="auto"/>
        <w:rPr>
          <w:rFonts w:asciiTheme="minorHAnsi" w:hAnsiTheme="minorHAnsi"/>
          <w:sz w:val="22"/>
        </w:rPr>
      </w:pPr>
    </w:p>
    <w:p w14:paraId="51ECEA86" w14:textId="77777777" w:rsidR="00B213B2" w:rsidRPr="00222EDF" w:rsidRDefault="00B213B2" w:rsidP="00B213B2">
      <w:pPr>
        <w:numPr>
          <w:ilvl w:val="0"/>
          <w:numId w:val="32"/>
        </w:numPr>
        <w:spacing w:after="0" w:line="240" w:lineRule="auto"/>
        <w:rPr>
          <w:rFonts w:asciiTheme="minorHAnsi" w:hAnsiTheme="minorHAnsi"/>
          <w:sz w:val="22"/>
        </w:rPr>
      </w:pPr>
      <w:r w:rsidRPr="00123CE0">
        <w:rPr>
          <w:rFonts w:asciiTheme="minorHAnsi" w:hAnsiTheme="minorHAnsi"/>
          <w:sz w:val="22"/>
        </w:rPr>
        <w:t>Personnes morales de droit public, et notamment : collectivités territoriales et leurs groupements, Etablissement Public Territorial de Bassin (EPTB), services de l’Etat, GIP.</w:t>
      </w:r>
    </w:p>
    <w:p w14:paraId="08EE079A" w14:textId="77777777" w:rsidR="00B213B2" w:rsidRPr="00123CE0" w:rsidRDefault="00B213B2" w:rsidP="00B213B2">
      <w:pPr>
        <w:numPr>
          <w:ilvl w:val="0"/>
          <w:numId w:val="32"/>
        </w:numPr>
        <w:spacing w:after="0" w:line="240" w:lineRule="auto"/>
        <w:rPr>
          <w:rFonts w:asciiTheme="minorHAnsi" w:hAnsiTheme="minorHAnsi"/>
          <w:sz w:val="22"/>
        </w:rPr>
      </w:pPr>
      <w:r w:rsidRPr="00123CE0">
        <w:rPr>
          <w:rFonts w:asciiTheme="minorHAnsi" w:hAnsiTheme="minorHAnsi"/>
          <w:sz w:val="22"/>
        </w:rPr>
        <w:t>Personnes morales de droit privé : associations, entreprises …</w:t>
      </w:r>
      <w:r w:rsidRPr="00123CE0">
        <w:rPr>
          <w:rFonts w:asciiTheme="minorHAnsi" w:hAnsiTheme="minorHAnsi"/>
          <w:sz w:val="22"/>
        </w:rPr>
        <w:tab/>
      </w:r>
    </w:p>
    <w:p w14:paraId="2EA64828" w14:textId="77777777" w:rsidR="00B213B2" w:rsidRPr="00123CE0" w:rsidRDefault="00B213B2" w:rsidP="00B213B2">
      <w:pPr>
        <w:spacing w:after="0" w:line="240" w:lineRule="auto"/>
        <w:rPr>
          <w:rFonts w:asciiTheme="minorHAnsi" w:hAnsiTheme="minorHAnsi"/>
          <w:sz w:val="22"/>
        </w:rPr>
      </w:pPr>
    </w:p>
    <w:p w14:paraId="3C2AFCA0" w14:textId="77777777" w:rsidR="00B213B2" w:rsidRPr="00123CE0" w:rsidRDefault="00B213B2" w:rsidP="00B213B2">
      <w:pPr>
        <w:shd w:val="clear" w:color="auto" w:fill="C5F0FF"/>
        <w:spacing w:after="0" w:line="240" w:lineRule="auto"/>
        <w:rPr>
          <w:rFonts w:asciiTheme="minorHAnsi" w:hAnsiTheme="minorHAnsi"/>
          <w:b/>
          <w:bCs/>
          <w:color w:val="002060"/>
          <w:sz w:val="28"/>
          <w:szCs w:val="28"/>
        </w:rPr>
      </w:pPr>
      <w:r w:rsidRPr="00123CE0">
        <w:rPr>
          <w:rFonts w:asciiTheme="minorHAnsi" w:hAnsiTheme="minorHAnsi"/>
          <w:b/>
          <w:bCs/>
          <w:color w:val="FFFFFF" w:themeColor="background1"/>
          <w:sz w:val="28"/>
          <w:szCs w:val="28"/>
          <w:shd w:val="clear" w:color="auto" w:fill="0099CC"/>
        </w:rPr>
        <w:t>O</w:t>
      </w:r>
      <w:r w:rsidRPr="00123CE0">
        <w:rPr>
          <w:rFonts w:asciiTheme="minorHAnsi" w:hAnsiTheme="minorHAnsi" w:cstheme="minorHAnsi"/>
          <w:b/>
          <w:bCs/>
          <w:color w:val="FFFFFF" w:themeColor="background1"/>
          <w:sz w:val="28"/>
          <w:szCs w:val="28"/>
          <w:shd w:val="clear" w:color="auto" w:fill="0099CC"/>
        </w:rPr>
        <w:t>Ù</w:t>
      </w:r>
      <w:r w:rsidRPr="00123CE0">
        <w:rPr>
          <w:rFonts w:asciiTheme="minorHAnsi" w:hAnsiTheme="minorHAnsi"/>
          <w:b/>
          <w:bCs/>
          <w:color w:val="FFFFFF" w:themeColor="background1"/>
          <w:sz w:val="28"/>
          <w:szCs w:val="28"/>
          <w:shd w:val="clear" w:color="auto" w:fill="0099CC"/>
        </w:rPr>
        <w:t> ?</w:t>
      </w:r>
      <w:r w:rsidRPr="00123CE0">
        <w:rPr>
          <w:rFonts w:asciiTheme="minorHAnsi" w:hAnsiTheme="minorHAnsi"/>
          <w:b/>
          <w:bCs/>
          <w:sz w:val="28"/>
          <w:szCs w:val="28"/>
          <w:shd w:val="clear" w:color="auto" w:fill="0099CC"/>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Territoires cibles</w:t>
      </w:r>
    </w:p>
    <w:p w14:paraId="582A54A6" w14:textId="77777777" w:rsidR="00B213B2" w:rsidRPr="00123CE0" w:rsidRDefault="00B213B2" w:rsidP="00B213B2">
      <w:pPr>
        <w:spacing w:after="0" w:line="240" w:lineRule="auto"/>
        <w:rPr>
          <w:rFonts w:asciiTheme="minorHAnsi" w:hAnsiTheme="minorHAnsi"/>
          <w:sz w:val="22"/>
        </w:rPr>
      </w:pPr>
    </w:p>
    <w:p w14:paraId="6AFE4BEE" w14:textId="77777777" w:rsidR="00B213B2" w:rsidRPr="00123CE0" w:rsidRDefault="00B213B2" w:rsidP="00B213B2">
      <w:p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Pour les stratégies de réduction du risque inondation : </w:t>
      </w:r>
    </w:p>
    <w:p w14:paraId="38B3CB51" w14:textId="77777777" w:rsidR="00B213B2" w:rsidRPr="00123CE0" w:rsidRDefault="00B213B2" w:rsidP="00B213B2">
      <w:pPr>
        <w:spacing w:after="0" w:line="240" w:lineRule="auto"/>
        <w:rPr>
          <w:rFonts w:asciiTheme="minorHAnsi" w:hAnsiTheme="minorHAnsi"/>
          <w:sz w:val="22"/>
        </w:rPr>
      </w:pPr>
    </w:p>
    <w:p w14:paraId="648BC4F4" w14:textId="77777777" w:rsidR="00B213B2" w:rsidRPr="00123CE0" w:rsidRDefault="00B213B2" w:rsidP="00B213B2">
      <w:pPr>
        <w:numPr>
          <w:ilvl w:val="0"/>
          <w:numId w:val="40"/>
        </w:numPr>
        <w:spacing w:after="0" w:line="240" w:lineRule="auto"/>
        <w:rPr>
          <w:rFonts w:asciiTheme="minorHAnsi" w:hAnsiTheme="minorHAnsi"/>
          <w:sz w:val="22"/>
        </w:rPr>
      </w:pPr>
      <w:r w:rsidRPr="00123CE0">
        <w:rPr>
          <w:rFonts w:asciiTheme="minorHAnsi" w:hAnsiTheme="minorHAnsi"/>
          <w:sz w:val="22"/>
        </w:rPr>
        <w:t>15 Stratégies locales de gestion du risque d’inondation (SLGRI) : Angers-Authion-Saumur, Bourges, Châtellerault-Poitiers, Clermont-Ferrand-Riom, Le Mans, Le Puy-en-Velay, Montluçon, Moulins, Nantes, Nevers, Orléans, Roanne, Saint-Etienne, Tours et Vichy,</w:t>
      </w:r>
    </w:p>
    <w:p w14:paraId="610FBF5F" w14:textId="77777777" w:rsidR="00B213B2" w:rsidRPr="00123CE0" w:rsidRDefault="00B213B2" w:rsidP="00B213B2">
      <w:pPr>
        <w:numPr>
          <w:ilvl w:val="0"/>
          <w:numId w:val="40"/>
        </w:numPr>
        <w:spacing w:after="0" w:line="240" w:lineRule="auto"/>
        <w:rPr>
          <w:rFonts w:asciiTheme="minorHAnsi" w:hAnsiTheme="minorHAnsi"/>
          <w:sz w:val="22"/>
        </w:rPr>
      </w:pPr>
      <w:r w:rsidRPr="00123CE0">
        <w:rPr>
          <w:rFonts w:asciiTheme="minorHAnsi" w:hAnsiTheme="minorHAnsi"/>
          <w:sz w:val="22"/>
        </w:rPr>
        <w:t>9 unités urbaines regroupant un nombre significatif d'enjeux en zone inondable recensés au premier cycle de la directive inondation : Blois, Châteauroux, Digoin, La Flèche, Laval, Limoges, Saint-Amand Montrond, Vendôme et Vierzon,</w:t>
      </w:r>
    </w:p>
    <w:p w14:paraId="342D8D95" w14:textId="77777777" w:rsidR="00B213B2" w:rsidRPr="00123CE0" w:rsidRDefault="00B213B2" w:rsidP="00B213B2">
      <w:pPr>
        <w:numPr>
          <w:ilvl w:val="0"/>
          <w:numId w:val="40"/>
        </w:numPr>
        <w:spacing w:after="0" w:line="240" w:lineRule="auto"/>
        <w:rPr>
          <w:rFonts w:asciiTheme="minorHAnsi" w:hAnsiTheme="minorHAnsi"/>
          <w:sz w:val="22"/>
        </w:rPr>
      </w:pPr>
      <w:r w:rsidRPr="00123CE0">
        <w:rPr>
          <w:rFonts w:asciiTheme="minorHAnsi" w:hAnsiTheme="minorHAnsi"/>
          <w:sz w:val="22"/>
        </w:rPr>
        <w:t>Les Vals de Loire dans le Cher, la Nièvre et le Giennois.</w:t>
      </w:r>
    </w:p>
    <w:p w14:paraId="529D6073" w14:textId="77777777" w:rsidR="00B213B2" w:rsidRPr="00123CE0" w:rsidRDefault="00B213B2" w:rsidP="00B213B2">
      <w:pPr>
        <w:spacing w:after="0" w:line="240" w:lineRule="auto"/>
        <w:rPr>
          <w:rFonts w:asciiTheme="minorHAnsi" w:hAnsiTheme="minorHAnsi"/>
          <w:sz w:val="22"/>
        </w:rPr>
      </w:pPr>
    </w:p>
    <w:p w14:paraId="7A89F504" w14:textId="77777777" w:rsidR="00B213B2" w:rsidRPr="00123CE0" w:rsidRDefault="00B213B2" w:rsidP="00B213B2">
      <w:pPr>
        <w:spacing w:after="0" w:line="240" w:lineRule="auto"/>
        <w:rPr>
          <w:rFonts w:asciiTheme="minorHAnsi" w:hAnsiTheme="minorHAnsi"/>
          <w:b/>
          <w:bCs/>
          <w:color w:val="002060"/>
          <w:sz w:val="22"/>
        </w:rPr>
      </w:pPr>
      <w:r w:rsidRPr="00123CE0">
        <w:rPr>
          <w:rFonts w:asciiTheme="minorHAnsi" w:hAnsiTheme="minorHAnsi"/>
          <w:b/>
          <w:bCs/>
          <w:color w:val="002060"/>
          <w:sz w:val="22"/>
        </w:rPr>
        <w:t>Pour les infrastructures naturelles de gestion du risque d’inondation et d’acquisition et de partage de la connaissance :</w:t>
      </w:r>
    </w:p>
    <w:p w14:paraId="1989811C" w14:textId="77777777" w:rsidR="00B213B2" w:rsidRPr="00123CE0" w:rsidRDefault="00B213B2" w:rsidP="00B213B2">
      <w:pPr>
        <w:numPr>
          <w:ilvl w:val="0"/>
          <w:numId w:val="40"/>
        </w:numPr>
        <w:spacing w:after="0" w:line="240" w:lineRule="auto"/>
        <w:rPr>
          <w:rFonts w:asciiTheme="minorHAnsi" w:hAnsiTheme="minorHAnsi"/>
          <w:b/>
          <w:bCs/>
          <w:color w:val="002060"/>
          <w:sz w:val="22"/>
        </w:rPr>
      </w:pPr>
      <w:r w:rsidRPr="00123CE0">
        <w:rPr>
          <w:rFonts w:asciiTheme="minorHAnsi" w:hAnsiTheme="minorHAnsi"/>
          <w:sz w:val="22"/>
        </w:rPr>
        <w:t>Territoires du bassin de la Loire.</w:t>
      </w:r>
    </w:p>
    <w:p w14:paraId="4B2ABCF4" w14:textId="77777777" w:rsidR="00B213B2" w:rsidRPr="00123CE0" w:rsidRDefault="00B213B2" w:rsidP="00B213B2">
      <w:pPr>
        <w:spacing w:after="0" w:line="240" w:lineRule="auto"/>
        <w:ind w:left="720"/>
        <w:rPr>
          <w:rFonts w:asciiTheme="minorHAnsi" w:hAnsiTheme="minorHAnsi"/>
          <w:b/>
          <w:bCs/>
          <w:color w:val="002060"/>
          <w:sz w:val="22"/>
        </w:rPr>
      </w:pPr>
    </w:p>
    <w:p w14:paraId="419FB5CE" w14:textId="77777777" w:rsidR="00B213B2" w:rsidRPr="00123CE0" w:rsidRDefault="00B213B2" w:rsidP="00B213B2">
      <w:pPr>
        <w:shd w:val="clear" w:color="auto" w:fill="FBE4D5" w:themeFill="accent2"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ED7D31" w:themeFill="accent2"/>
        </w:rPr>
        <w:t>QUELLES CONDITIONS ?</w:t>
      </w:r>
      <w:r w:rsidRPr="00123CE0">
        <w:rPr>
          <w:rFonts w:asciiTheme="minorHAnsi" w:hAnsiTheme="minorHAnsi"/>
          <w:b/>
          <w:bCs/>
          <w:sz w:val="28"/>
          <w:szCs w:val="28"/>
          <w:shd w:val="clear" w:color="auto" w:fill="ED7D31" w:themeFill="accent2"/>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Critères de sélection des projets</w:t>
      </w:r>
    </w:p>
    <w:p w14:paraId="270E7F85" w14:textId="77777777" w:rsidR="00B213B2" w:rsidRPr="00123CE0" w:rsidRDefault="00B213B2" w:rsidP="00B213B2">
      <w:pPr>
        <w:spacing w:after="0" w:line="240" w:lineRule="auto"/>
        <w:rPr>
          <w:rFonts w:asciiTheme="minorHAnsi" w:hAnsiTheme="minorHAnsi"/>
          <w:sz w:val="22"/>
        </w:rPr>
      </w:pPr>
    </w:p>
    <w:p w14:paraId="723EE96E" w14:textId="77777777" w:rsidR="00B213B2" w:rsidRPr="00123CE0" w:rsidRDefault="00B213B2" w:rsidP="00B213B2">
      <w:pPr>
        <w:numPr>
          <w:ilvl w:val="0"/>
          <w:numId w:val="38"/>
        </w:numPr>
        <w:spacing w:after="0" w:line="240" w:lineRule="auto"/>
        <w:jc w:val="left"/>
        <w:rPr>
          <w:rFonts w:asciiTheme="minorHAnsi" w:hAnsiTheme="minorHAnsi"/>
          <w:sz w:val="22"/>
        </w:rPr>
      </w:pPr>
      <w:r w:rsidRPr="00123CE0">
        <w:rPr>
          <w:rFonts w:asciiTheme="minorHAnsi" w:hAnsiTheme="minorHAnsi"/>
          <w:sz w:val="22"/>
        </w:rPr>
        <w:t xml:space="preserve">Les différentes actions envisagées doivent permettre de consolider ou d’engager, sur le bassin de la Loire, en territoire TRI ou dans les sites à enjeux forts, des dynamiques territoriales favorables à l’émergence d’actions préventives ou permettant d’accroître la résilience du bassin de la Loire à l’issue des crues majeures (centennales). </w:t>
      </w:r>
    </w:p>
    <w:p w14:paraId="728E122D" w14:textId="77777777" w:rsidR="00B213B2" w:rsidRPr="00123CE0" w:rsidRDefault="00B213B2" w:rsidP="00B213B2">
      <w:pPr>
        <w:numPr>
          <w:ilvl w:val="0"/>
          <w:numId w:val="38"/>
        </w:numPr>
        <w:spacing w:after="0" w:line="240" w:lineRule="auto"/>
        <w:jc w:val="left"/>
        <w:rPr>
          <w:rFonts w:asciiTheme="minorHAnsi" w:hAnsiTheme="minorHAnsi"/>
          <w:sz w:val="22"/>
        </w:rPr>
      </w:pPr>
      <w:r w:rsidRPr="00123CE0">
        <w:rPr>
          <w:rFonts w:asciiTheme="minorHAnsi" w:hAnsiTheme="minorHAnsi"/>
          <w:sz w:val="22"/>
        </w:rPr>
        <w:t>Pour les projets relatifs à l’élaboration d’une stratégie territorialisée et cohérente (hors action d’animation et de coordination de niveau bassin), il est attendu une participation de l’Agglomération concernée (en TRI) ou des principales collectivités locales du territoire (hors TRI) à hauteur de 20% minimum du coût de l’opération.</w:t>
      </w:r>
    </w:p>
    <w:p w14:paraId="4F5C33DF" w14:textId="77777777" w:rsidR="00B213B2" w:rsidRPr="00123CE0" w:rsidRDefault="00B213B2" w:rsidP="00B213B2">
      <w:pPr>
        <w:spacing w:after="0" w:line="240" w:lineRule="auto"/>
        <w:rPr>
          <w:rFonts w:asciiTheme="minorHAnsi" w:hAnsiTheme="minorHAnsi"/>
          <w:sz w:val="22"/>
        </w:rPr>
      </w:pPr>
    </w:p>
    <w:p w14:paraId="1F3EBEAA" w14:textId="77777777" w:rsidR="00B213B2" w:rsidRPr="00123CE0" w:rsidRDefault="00B213B2" w:rsidP="00B213B2">
      <w:pPr>
        <w:shd w:val="clear" w:color="auto" w:fill="FBE4D5" w:themeFill="accent2"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ED7D31" w:themeFill="accent2"/>
        </w:rPr>
        <w:t>QUELLES CONDITIONS ?</w:t>
      </w:r>
      <w:r w:rsidRPr="00123CE0">
        <w:rPr>
          <w:rFonts w:asciiTheme="minorHAnsi" w:hAnsiTheme="minorHAnsi"/>
          <w:b/>
          <w:bCs/>
          <w:sz w:val="28"/>
          <w:szCs w:val="28"/>
          <w:shd w:val="clear" w:color="auto" w:fill="ED7D31" w:themeFill="accent2"/>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Modalités de dépôt</w:t>
      </w:r>
    </w:p>
    <w:p w14:paraId="452552A1" w14:textId="77777777" w:rsidR="00B213B2" w:rsidRPr="00123CE0" w:rsidRDefault="00B213B2" w:rsidP="00B213B2">
      <w:pPr>
        <w:spacing w:after="0" w:line="240" w:lineRule="auto"/>
        <w:rPr>
          <w:rFonts w:asciiTheme="minorHAnsi" w:hAnsiTheme="minorHAnsi"/>
          <w:sz w:val="22"/>
        </w:rPr>
      </w:pPr>
    </w:p>
    <w:p w14:paraId="2EAEE365" w14:textId="210AF3FC" w:rsidR="00B213B2" w:rsidRDefault="00B213B2" w:rsidP="00B213B2">
      <w:pPr>
        <w:spacing w:after="0" w:line="240" w:lineRule="auto"/>
        <w:rPr>
          <w:rFonts w:asciiTheme="minorHAnsi" w:hAnsiTheme="minorHAnsi"/>
          <w:sz w:val="22"/>
        </w:rPr>
      </w:pPr>
      <w:r w:rsidRPr="00123CE0">
        <w:rPr>
          <w:rFonts w:asciiTheme="minorHAnsi" w:hAnsiTheme="minorHAnsi"/>
          <w:sz w:val="22"/>
        </w:rPr>
        <w:lastRenderedPageBreak/>
        <w:t>Guichet (Au fil de l’eau) ou Appel à projets.</w:t>
      </w:r>
    </w:p>
    <w:p w14:paraId="4E4BFB01" w14:textId="77777777" w:rsidR="00B213B2" w:rsidRPr="00123CE0" w:rsidRDefault="00B213B2" w:rsidP="00B213B2">
      <w:pPr>
        <w:spacing w:after="0" w:line="240" w:lineRule="auto"/>
        <w:rPr>
          <w:rFonts w:asciiTheme="minorHAnsi" w:hAnsiTheme="minorHAnsi"/>
          <w:sz w:val="22"/>
        </w:rPr>
      </w:pPr>
    </w:p>
    <w:p w14:paraId="0A10C65F" w14:textId="77777777" w:rsidR="00B213B2" w:rsidRPr="00123CE0" w:rsidRDefault="00B213B2" w:rsidP="00B213B2">
      <w:pPr>
        <w:shd w:val="clear" w:color="auto" w:fill="FBE4D5" w:themeFill="accent2"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ED7D31" w:themeFill="accent2"/>
        </w:rPr>
        <w:t>QUELLES CONDITIONS ?</w:t>
      </w:r>
      <w:r w:rsidRPr="00123CE0">
        <w:rPr>
          <w:rFonts w:asciiTheme="minorHAnsi" w:hAnsiTheme="minorHAnsi"/>
          <w:b/>
          <w:bCs/>
          <w:sz w:val="28"/>
          <w:szCs w:val="28"/>
          <w:shd w:val="clear" w:color="auto" w:fill="ED7D31" w:themeFill="accent2"/>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Conditions favorisantes</w:t>
      </w:r>
    </w:p>
    <w:p w14:paraId="4096D539" w14:textId="77777777" w:rsidR="00B213B2" w:rsidRPr="00123CE0" w:rsidRDefault="00B213B2" w:rsidP="00B213B2">
      <w:pPr>
        <w:spacing w:after="0" w:line="240" w:lineRule="auto"/>
        <w:rPr>
          <w:rFonts w:asciiTheme="minorHAnsi" w:hAnsiTheme="minorHAnsi"/>
          <w:sz w:val="22"/>
        </w:rPr>
      </w:pPr>
    </w:p>
    <w:p w14:paraId="757EB3B6"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Sans objet</w:t>
      </w:r>
    </w:p>
    <w:p w14:paraId="18C13C50" w14:textId="77777777" w:rsidR="00B213B2" w:rsidRPr="00123CE0" w:rsidRDefault="00B213B2" w:rsidP="00B213B2">
      <w:pPr>
        <w:spacing w:after="0" w:line="240" w:lineRule="auto"/>
        <w:rPr>
          <w:rFonts w:asciiTheme="minorHAnsi" w:hAnsiTheme="minorHAnsi"/>
          <w:sz w:val="22"/>
        </w:rPr>
      </w:pPr>
    </w:p>
    <w:p w14:paraId="483391D1" w14:textId="77777777" w:rsidR="00B213B2" w:rsidRPr="00123CE0" w:rsidRDefault="00B213B2" w:rsidP="00B213B2">
      <w:pPr>
        <w:shd w:val="clear" w:color="auto" w:fill="FBE4D5" w:themeFill="accent2"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ED7D31" w:themeFill="accent2"/>
        </w:rPr>
        <w:t>QUELLES CONDITIONS ?</w:t>
      </w:r>
      <w:r w:rsidRPr="00123CE0">
        <w:rPr>
          <w:rFonts w:asciiTheme="minorHAnsi" w:hAnsiTheme="minorHAnsi"/>
          <w:b/>
          <w:bCs/>
          <w:sz w:val="28"/>
          <w:szCs w:val="28"/>
          <w:shd w:val="clear" w:color="auto" w:fill="ED7D31" w:themeFill="accent2"/>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Principes horizontaux</w:t>
      </w:r>
    </w:p>
    <w:p w14:paraId="7D6DE713" w14:textId="77777777" w:rsidR="00B213B2" w:rsidRPr="00123CE0" w:rsidRDefault="00B213B2" w:rsidP="00B213B2">
      <w:pPr>
        <w:spacing w:after="0" w:line="240" w:lineRule="auto"/>
        <w:rPr>
          <w:rFonts w:asciiTheme="minorHAnsi" w:hAnsiTheme="minorHAnsi"/>
          <w:sz w:val="22"/>
        </w:rPr>
      </w:pPr>
    </w:p>
    <w:p w14:paraId="7C46B02C" w14:textId="77777777" w:rsidR="00B213B2" w:rsidRPr="00123CE0" w:rsidRDefault="00B213B2" w:rsidP="00B213B2">
      <w:pPr>
        <w:spacing w:after="0" w:line="240" w:lineRule="auto"/>
        <w:rPr>
          <w:rFonts w:asciiTheme="minorHAnsi" w:hAnsiTheme="minorHAnsi"/>
          <w:color w:val="000000" w:themeColor="text1"/>
          <w:sz w:val="22"/>
        </w:rPr>
      </w:pPr>
      <w:r w:rsidRPr="00123CE0">
        <w:rPr>
          <w:rFonts w:asciiTheme="minorHAnsi" w:hAnsiTheme="minorHAnsi"/>
          <w:color w:val="000000" w:themeColor="text1"/>
          <w:sz w:val="22"/>
        </w:rPr>
        <w:t xml:space="preserve">Les opérations doivent être en cohérence avec les principes horizontaux suivants : égalité des chances, non-discrimination, égalité entre les hommes et </w:t>
      </w:r>
      <w:r>
        <w:rPr>
          <w:rFonts w:asciiTheme="minorHAnsi" w:hAnsiTheme="minorHAnsi"/>
          <w:color w:val="000000" w:themeColor="text1"/>
          <w:sz w:val="22"/>
        </w:rPr>
        <w:t>les femmes, développement durable, accessibilité aux personnes en situation de handicap et Charte des droits fondamentaux de l’UE.</w:t>
      </w:r>
    </w:p>
    <w:p w14:paraId="3EE173F5" w14:textId="77777777" w:rsidR="00B213B2" w:rsidRPr="00123CE0" w:rsidRDefault="00B213B2" w:rsidP="00B213B2">
      <w:pPr>
        <w:spacing w:after="0" w:line="240" w:lineRule="auto"/>
        <w:rPr>
          <w:rFonts w:asciiTheme="minorHAnsi" w:hAnsiTheme="minorHAnsi"/>
          <w:sz w:val="22"/>
        </w:rPr>
      </w:pPr>
    </w:p>
    <w:p w14:paraId="6A2A4E1A" w14:textId="77777777" w:rsidR="00B213B2" w:rsidRPr="00123CE0" w:rsidRDefault="00B213B2" w:rsidP="00B213B2">
      <w:pPr>
        <w:shd w:val="clear" w:color="auto" w:fill="FBE4D5" w:themeFill="accent2"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ED7D31" w:themeFill="accent2"/>
        </w:rPr>
        <w:t>QUELLES CONDITIONS ?</w:t>
      </w:r>
      <w:r w:rsidRPr="00123CE0">
        <w:rPr>
          <w:rFonts w:asciiTheme="minorHAnsi" w:hAnsiTheme="minorHAnsi"/>
          <w:b/>
          <w:bCs/>
          <w:sz w:val="28"/>
          <w:szCs w:val="28"/>
          <w:shd w:val="clear" w:color="auto" w:fill="ED7D31" w:themeFill="accent2"/>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Respect des règles européennes</w:t>
      </w:r>
    </w:p>
    <w:p w14:paraId="74031BF3" w14:textId="77777777" w:rsidR="00B213B2" w:rsidRPr="00123CE0" w:rsidRDefault="00B213B2" w:rsidP="00B213B2">
      <w:pPr>
        <w:spacing w:after="0" w:line="240" w:lineRule="auto"/>
        <w:rPr>
          <w:rFonts w:asciiTheme="minorHAnsi" w:hAnsiTheme="minorHAnsi"/>
          <w:sz w:val="22"/>
        </w:rPr>
      </w:pPr>
    </w:p>
    <w:p w14:paraId="365437AF" w14:textId="77777777" w:rsidR="00B213B2" w:rsidRPr="00123CE0" w:rsidRDefault="00B213B2" w:rsidP="00B213B2">
      <w:p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Régimes d’aides d’état notamment mobilisables :  </w:t>
      </w:r>
    </w:p>
    <w:p w14:paraId="57E8F888"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F936FF2"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 xml:space="preserve">Règlement (UE) n° 1407/2013 de la commission du 18 décembre 2013 relatif à l’application des articles 107 et 108 du traité sur le fonctionnement de l’Union européenne aux aides de minimis ; </w:t>
      </w:r>
    </w:p>
    <w:p w14:paraId="763A5806"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74FD877"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Communication de la Commission relative à la notion d’« aide d'État» visée à l'article 107, paragraphe 1, du traité sur le fonctionnement de l'Union européenne, C/2016/2946, OJ C 262, 19.7.2016, p. 1–50 .</w:t>
      </w:r>
    </w:p>
    <w:p w14:paraId="0D30117E"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 xml:space="preserve">  </w:t>
      </w:r>
    </w:p>
    <w:p w14:paraId="081BD476" w14:textId="77777777" w:rsidR="00B213B2" w:rsidRPr="00123CE0" w:rsidRDefault="00B213B2" w:rsidP="00B213B2">
      <w:p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Eligibilité des dépenses : </w:t>
      </w:r>
    </w:p>
    <w:p w14:paraId="2EB2637F"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Règlement (UE, Euratom) n°2018/1046 relatif aux règles financières applicables au budget général de l’Union, dit Omnibus ;</w:t>
      </w:r>
    </w:p>
    <w:p w14:paraId="0C9FD48F"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6AAA281F"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sz w:val="22"/>
        </w:rPr>
        <w:t xml:space="preserve">  </w:t>
      </w:r>
    </w:p>
    <w:p w14:paraId="1CD2139E" w14:textId="77777777" w:rsidR="00B213B2" w:rsidRPr="00123CE0" w:rsidRDefault="00B213B2" w:rsidP="00B213B2">
      <w:pPr>
        <w:spacing w:after="0" w:line="240" w:lineRule="auto"/>
        <w:rPr>
          <w:rFonts w:asciiTheme="minorHAnsi" w:hAnsiTheme="minorHAnsi"/>
          <w:b/>
          <w:bCs/>
          <w:color w:val="002060"/>
          <w:sz w:val="22"/>
        </w:rPr>
      </w:pPr>
      <w:r w:rsidRPr="00123CE0">
        <w:rPr>
          <w:rFonts w:asciiTheme="minorHAnsi" w:hAnsiTheme="minorHAnsi"/>
          <w:b/>
          <w:bCs/>
          <w:color w:val="002060"/>
          <w:sz w:val="22"/>
        </w:rPr>
        <w:t xml:space="preserve">Commande publique : </w:t>
      </w:r>
    </w:p>
    <w:p w14:paraId="42474C85"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 xml:space="preserve">Code de la Commande Publique ; </w:t>
      </w:r>
    </w:p>
    <w:p w14:paraId="444F6607" w14:textId="77777777" w:rsidR="00B213B2" w:rsidRPr="00123CE0" w:rsidRDefault="00B213B2" w:rsidP="00B213B2">
      <w:pPr>
        <w:numPr>
          <w:ilvl w:val="0"/>
          <w:numId w:val="1"/>
        </w:numPr>
        <w:spacing w:after="0" w:line="240" w:lineRule="auto"/>
        <w:rPr>
          <w:rFonts w:asciiTheme="minorHAnsi" w:hAnsiTheme="minorHAnsi"/>
          <w:sz w:val="22"/>
        </w:rPr>
      </w:pPr>
      <w:r w:rsidRPr="00123CE0">
        <w:rPr>
          <w:rFonts w:asciiTheme="minorHAnsi" w:hAnsiTheme="minorHAnsi"/>
          <w:sz w:val="22"/>
        </w:rPr>
        <w:t xml:space="preserve">Ordonnance n°2018-1074 du 26 novembre 2018 relative aux marchés publics ;  </w:t>
      </w:r>
    </w:p>
    <w:p w14:paraId="350A00F9" w14:textId="77777777" w:rsidR="00B213B2" w:rsidRPr="00123CE0" w:rsidRDefault="00B213B2" w:rsidP="00B213B2">
      <w:pPr>
        <w:numPr>
          <w:ilvl w:val="0"/>
          <w:numId w:val="1"/>
        </w:numPr>
        <w:spacing w:after="0" w:line="240" w:lineRule="auto"/>
        <w:jc w:val="left"/>
        <w:rPr>
          <w:rFonts w:asciiTheme="minorHAnsi" w:hAnsiTheme="minorHAnsi"/>
          <w:sz w:val="22"/>
        </w:rPr>
      </w:pPr>
      <w:r w:rsidRPr="00123CE0">
        <w:rPr>
          <w:rFonts w:asciiTheme="minorHAnsi" w:hAnsiTheme="minorHAnsi"/>
          <w:sz w:val="22"/>
        </w:rPr>
        <w:t>Décret n°2018-1075 du 3 décembre 2018 relatif aux marchés publics.</w:t>
      </w:r>
    </w:p>
    <w:p w14:paraId="5BD40F8C" w14:textId="77777777" w:rsidR="00B213B2" w:rsidRPr="00123CE0" w:rsidRDefault="00B213B2" w:rsidP="00B213B2">
      <w:pPr>
        <w:spacing w:after="0" w:line="240" w:lineRule="auto"/>
        <w:rPr>
          <w:rFonts w:asciiTheme="minorHAnsi" w:hAnsiTheme="minorHAnsi"/>
          <w:sz w:val="22"/>
        </w:rPr>
      </w:pPr>
    </w:p>
    <w:p w14:paraId="71654573" w14:textId="77777777" w:rsidR="00B213B2" w:rsidRPr="00123CE0" w:rsidRDefault="00B213B2" w:rsidP="00B213B2">
      <w:pPr>
        <w:shd w:val="clear" w:color="auto" w:fill="E2EFD9" w:themeFill="accent6"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AD47" w:themeFill="accent6"/>
        </w:rPr>
        <w:t>MODALITÉS DE FINANCEMENT ?</w:t>
      </w:r>
      <w:r w:rsidRPr="00123CE0">
        <w:rPr>
          <w:rFonts w:asciiTheme="minorHAnsi" w:hAnsiTheme="minorHAnsi"/>
          <w:b/>
          <w:bCs/>
          <w:sz w:val="28"/>
          <w:szCs w:val="28"/>
          <w:shd w:val="clear" w:color="auto" w:fill="70AD47" w:themeFill="accent6"/>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Dépenses éligibles</w:t>
      </w:r>
    </w:p>
    <w:p w14:paraId="55263394" w14:textId="77777777" w:rsidR="00B213B2" w:rsidRPr="00123CE0" w:rsidRDefault="00B213B2" w:rsidP="00B213B2">
      <w:pPr>
        <w:spacing w:after="0" w:line="240" w:lineRule="auto"/>
        <w:rPr>
          <w:rFonts w:asciiTheme="minorHAnsi" w:hAnsiTheme="minorHAnsi"/>
          <w:b/>
          <w:bCs/>
          <w:sz w:val="22"/>
        </w:rPr>
      </w:pPr>
    </w:p>
    <w:p w14:paraId="359596B3" w14:textId="77777777" w:rsidR="00B213B2" w:rsidRPr="00123CE0" w:rsidRDefault="00B213B2" w:rsidP="00B213B2">
      <w:pPr>
        <w:numPr>
          <w:ilvl w:val="0"/>
          <w:numId w:val="41"/>
        </w:numPr>
        <w:suppressAutoHyphens/>
        <w:spacing w:after="0" w:line="240" w:lineRule="auto"/>
        <w:jc w:val="left"/>
        <w:rPr>
          <w:rFonts w:asciiTheme="minorHAnsi" w:hAnsiTheme="minorHAnsi"/>
          <w:sz w:val="22"/>
        </w:rPr>
      </w:pPr>
      <w:r w:rsidRPr="00123CE0">
        <w:rPr>
          <w:rFonts w:asciiTheme="minorHAnsi" w:hAnsiTheme="minorHAnsi"/>
          <w:sz w:val="22"/>
        </w:rPr>
        <w:t xml:space="preserve">Dépenses de personnels </w:t>
      </w:r>
    </w:p>
    <w:p w14:paraId="46C31403" w14:textId="77777777" w:rsidR="00B213B2" w:rsidRPr="00123CE0" w:rsidRDefault="00B213B2" w:rsidP="00B213B2">
      <w:pPr>
        <w:numPr>
          <w:ilvl w:val="0"/>
          <w:numId w:val="41"/>
        </w:numPr>
        <w:suppressAutoHyphens/>
        <w:spacing w:after="0" w:line="240" w:lineRule="auto"/>
        <w:jc w:val="left"/>
        <w:rPr>
          <w:rFonts w:asciiTheme="minorHAnsi" w:hAnsiTheme="minorHAnsi"/>
          <w:sz w:val="22"/>
        </w:rPr>
      </w:pPr>
      <w:r w:rsidRPr="00123CE0">
        <w:rPr>
          <w:rFonts w:asciiTheme="minorHAnsi" w:hAnsiTheme="minorHAnsi"/>
          <w:sz w:val="22"/>
        </w:rPr>
        <w:t>Dépenses de prestations externes</w:t>
      </w:r>
    </w:p>
    <w:p w14:paraId="44E39FC4" w14:textId="77777777" w:rsidR="00B213B2" w:rsidRPr="00123CE0" w:rsidRDefault="00B213B2" w:rsidP="00B213B2">
      <w:pPr>
        <w:numPr>
          <w:ilvl w:val="0"/>
          <w:numId w:val="41"/>
        </w:numPr>
        <w:suppressAutoHyphens/>
        <w:spacing w:after="0" w:line="240" w:lineRule="auto"/>
        <w:jc w:val="left"/>
        <w:rPr>
          <w:rFonts w:asciiTheme="minorHAnsi" w:hAnsiTheme="minorHAnsi"/>
          <w:sz w:val="22"/>
        </w:rPr>
      </w:pPr>
      <w:r w:rsidRPr="00123CE0">
        <w:rPr>
          <w:rFonts w:asciiTheme="minorHAnsi" w:hAnsiTheme="minorHAnsi"/>
          <w:sz w:val="22"/>
        </w:rPr>
        <w:t>Dépenses de travaux et d’investissement</w:t>
      </w:r>
    </w:p>
    <w:p w14:paraId="6B74F286" w14:textId="77777777" w:rsidR="00B213B2" w:rsidRPr="00123CE0" w:rsidRDefault="00B213B2" w:rsidP="00B213B2">
      <w:pPr>
        <w:numPr>
          <w:ilvl w:val="0"/>
          <w:numId w:val="41"/>
        </w:numPr>
        <w:suppressAutoHyphens/>
        <w:spacing w:after="0" w:line="240" w:lineRule="auto"/>
        <w:jc w:val="left"/>
        <w:rPr>
          <w:rFonts w:ascii="Calibri" w:hAnsi="Calibri" w:cs="Calibri"/>
          <w:sz w:val="22"/>
        </w:rPr>
      </w:pPr>
      <w:r w:rsidRPr="00123CE0">
        <w:rPr>
          <w:rFonts w:ascii="Calibri" w:hAnsi="Calibri" w:cs="Calibri"/>
          <w:sz w:val="22"/>
        </w:rPr>
        <w:t>Coûts indirects (non pris en compte en dépenses directes) mise en œuvre via des options de coûts simplifiés</w:t>
      </w:r>
    </w:p>
    <w:p w14:paraId="0088F419" w14:textId="77777777" w:rsidR="00B213B2" w:rsidRPr="00123CE0" w:rsidRDefault="00B213B2" w:rsidP="00B213B2">
      <w:pPr>
        <w:spacing w:after="0" w:line="240" w:lineRule="auto"/>
        <w:ind w:left="720"/>
        <w:rPr>
          <w:rFonts w:asciiTheme="minorHAnsi" w:hAnsiTheme="minorHAnsi"/>
          <w:sz w:val="22"/>
        </w:rPr>
      </w:pPr>
    </w:p>
    <w:p w14:paraId="21090879" w14:textId="77777777" w:rsidR="00B213B2" w:rsidRPr="00123CE0" w:rsidRDefault="00B213B2" w:rsidP="00B213B2">
      <w:pPr>
        <w:spacing w:after="160" w:line="259" w:lineRule="auto"/>
        <w:jc w:val="left"/>
        <w:rPr>
          <w:rFonts w:asciiTheme="minorHAnsi" w:hAnsiTheme="minorHAnsi"/>
          <w:sz w:val="22"/>
        </w:rPr>
      </w:pPr>
      <w:r w:rsidRPr="00123CE0">
        <w:rPr>
          <w:rFonts w:asciiTheme="minorHAnsi" w:hAnsiTheme="minorHAnsi"/>
          <w:sz w:val="22"/>
        </w:rPr>
        <w:br w:type="page"/>
      </w:r>
    </w:p>
    <w:p w14:paraId="7296D5EF" w14:textId="77777777" w:rsidR="00B213B2" w:rsidRPr="00123CE0" w:rsidRDefault="00B213B2" w:rsidP="00B213B2">
      <w:pPr>
        <w:shd w:val="clear" w:color="auto" w:fill="E2EFD9" w:themeFill="accent6"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AD47" w:themeFill="accent6"/>
        </w:rPr>
        <w:lastRenderedPageBreak/>
        <w:t>MODALITÉS DE FINANCEMENT ?</w:t>
      </w:r>
      <w:r w:rsidRPr="00123CE0">
        <w:rPr>
          <w:rFonts w:asciiTheme="minorHAnsi" w:hAnsiTheme="minorHAnsi"/>
          <w:b/>
          <w:bCs/>
          <w:sz w:val="28"/>
          <w:szCs w:val="28"/>
          <w:shd w:val="clear" w:color="auto" w:fill="70AD47" w:themeFill="accent6"/>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Options de coûts simplifiés</w:t>
      </w:r>
    </w:p>
    <w:p w14:paraId="1F9A1E36" w14:textId="77777777" w:rsidR="00B213B2" w:rsidRPr="00123CE0" w:rsidRDefault="00B213B2" w:rsidP="00B213B2">
      <w:pPr>
        <w:spacing w:after="0" w:line="240" w:lineRule="auto"/>
        <w:rPr>
          <w:rFonts w:asciiTheme="minorHAnsi" w:hAnsiTheme="minorHAnsi"/>
          <w:sz w:val="22"/>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B213B2" w:rsidRPr="00123CE0" w14:paraId="4F7BEA9F" w14:textId="77777777" w:rsidTr="000B288C">
        <w:tc>
          <w:tcPr>
            <w:tcW w:w="785" w:type="dxa"/>
            <w:gridSpan w:val="2"/>
            <w:tcBorders>
              <w:top w:val="nil"/>
              <w:left w:val="nil"/>
              <w:right w:val="nil"/>
            </w:tcBorders>
          </w:tcPr>
          <w:p w14:paraId="7685BA88" w14:textId="77777777" w:rsidR="00B213B2" w:rsidRPr="00123CE0" w:rsidRDefault="00B213B2" w:rsidP="000B288C">
            <w:pPr>
              <w:spacing w:after="0" w:line="240" w:lineRule="auto"/>
              <w:rPr>
                <w:rFonts w:asciiTheme="minorHAnsi" w:hAnsiTheme="minorHAnsi"/>
                <w:sz w:val="22"/>
              </w:rPr>
            </w:pPr>
          </w:p>
        </w:tc>
        <w:tc>
          <w:tcPr>
            <w:tcW w:w="8287" w:type="dxa"/>
            <w:tcBorders>
              <w:top w:val="nil"/>
              <w:left w:val="nil"/>
            </w:tcBorders>
            <w:vAlign w:val="center"/>
          </w:tcPr>
          <w:p w14:paraId="0351E719" w14:textId="77777777" w:rsidR="00B213B2" w:rsidRPr="00123CE0" w:rsidRDefault="00B213B2" w:rsidP="000B288C">
            <w:pPr>
              <w:spacing w:after="0" w:line="240" w:lineRule="auto"/>
              <w:jc w:val="left"/>
              <w:rPr>
                <w:rFonts w:asciiTheme="minorHAnsi" w:hAnsiTheme="minorHAnsi"/>
                <w:b/>
                <w:bCs/>
                <w:color w:val="002060"/>
                <w:sz w:val="22"/>
              </w:rPr>
            </w:pPr>
          </w:p>
        </w:tc>
        <w:tc>
          <w:tcPr>
            <w:tcW w:w="1423" w:type="dxa"/>
            <w:tcBorders>
              <w:left w:val="nil"/>
            </w:tcBorders>
            <w:vAlign w:val="center"/>
          </w:tcPr>
          <w:p w14:paraId="781B6EF0" w14:textId="77777777" w:rsidR="00B213B2" w:rsidRPr="00123CE0" w:rsidRDefault="00B213B2" w:rsidP="000B288C">
            <w:pPr>
              <w:spacing w:after="0" w:line="240" w:lineRule="auto"/>
              <w:jc w:val="center"/>
              <w:rPr>
                <w:rFonts w:asciiTheme="minorHAnsi" w:hAnsiTheme="minorHAnsi"/>
                <w:b/>
                <w:bCs/>
                <w:color w:val="002060"/>
                <w:sz w:val="22"/>
              </w:rPr>
            </w:pPr>
            <w:r w:rsidRPr="00123CE0">
              <w:rPr>
                <w:rFonts w:asciiTheme="minorHAnsi" w:hAnsiTheme="minorHAnsi"/>
                <w:b/>
                <w:bCs/>
                <w:color w:val="002060"/>
                <w:sz w:val="22"/>
              </w:rPr>
              <w:t>Mobilisable sur l’action</w:t>
            </w:r>
          </w:p>
        </w:tc>
      </w:tr>
      <w:tr w:rsidR="00B213B2" w:rsidRPr="00123CE0" w14:paraId="412ACD60" w14:textId="77777777" w:rsidTr="000B288C">
        <w:tc>
          <w:tcPr>
            <w:tcW w:w="9072" w:type="dxa"/>
            <w:gridSpan w:val="3"/>
            <w:vAlign w:val="center"/>
          </w:tcPr>
          <w:p w14:paraId="5FE4A2DC"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b/>
                <w:bCs/>
                <w:color w:val="002060"/>
                <w:sz w:val="22"/>
              </w:rPr>
              <w:t>Taux forfaitaires :</w:t>
            </w:r>
            <w:r w:rsidRPr="00123CE0">
              <w:rPr>
                <w:rFonts w:asciiTheme="minorHAnsi" w:hAnsiTheme="minorHAnsi"/>
                <w:color w:val="002060"/>
                <w:sz w:val="22"/>
              </w:rPr>
              <w:t xml:space="preserve"> </w:t>
            </w:r>
            <w:r w:rsidRPr="00123CE0">
              <w:rPr>
                <w:rFonts w:asciiTheme="minorHAnsi" w:hAnsiTheme="minorHAnsi"/>
                <w:sz w:val="22"/>
              </w:rPr>
              <w:t>obligatoire lorsque le coût total du projet est inférieur à 200 000 €</w:t>
            </w:r>
          </w:p>
        </w:tc>
        <w:tc>
          <w:tcPr>
            <w:tcW w:w="1423" w:type="dxa"/>
            <w:vAlign w:val="center"/>
          </w:tcPr>
          <w:p w14:paraId="6148CE9A" w14:textId="77777777" w:rsidR="00B213B2" w:rsidRPr="00123CE0" w:rsidRDefault="00B213B2" w:rsidP="000B288C">
            <w:pPr>
              <w:spacing w:after="0" w:line="240" w:lineRule="auto"/>
              <w:jc w:val="center"/>
              <w:rPr>
                <w:rFonts w:asciiTheme="minorHAnsi" w:hAnsiTheme="minorHAnsi"/>
                <w:b/>
                <w:bCs/>
                <w:color w:val="002060"/>
                <w:sz w:val="22"/>
              </w:rPr>
            </w:pPr>
            <w:r w:rsidRPr="00123CE0">
              <w:rPr>
                <w:rFonts w:asciiTheme="minorHAnsi" w:hAnsiTheme="minorHAnsi"/>
                <w:b/>
                <w:bCs/>
                <w:noProof/>
                <w:color w:val="002060"/>
                <w:sz w:val="22"/>
              </w:rPr>
              <w:drawing>
                <wp:inline distT="0" distB="0" distL="0" distR="0" wp14:anchorId="6EF89D65" wp14:editId="52BB2586">
                  <wp:extent cx="262393" cy="262393"/>
                  <wp:effectExtent l="0" t="0" r="4445" b="4445"/>
                  <wp:docPr id="784945398" name="Picture 78494539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213B2" w:rsidRPr="00123CE0" w14:paraId="0F0FB408" w14:textId="77777777" w:rsidTr="000B288C">
        <w:tc>
          <w:tcPr>
            <w:tcW w:w="284" w:type="dxa"/>
            <w:tcBorders>
              <w:right w:val="nil"/>
            </w:tcBorders>
          </w:tcPr>
          <w:p w14:paraId="2215B724" w14:textId="77777777" w:rsidR="00B213B2" w:rsidRPr="00123CE0" w:rsidRDefault="00B213B2" w:rsidP="000B288C">
            <w:pPr>
              <w:spacing w:after="0" w:line="240" w:lineRule="auto"/>
              <w:rPr>
                <w:rFonts w:asciiTheme="minorHAnsi" w:hAnsiTheme="minorHAnsi"/>
                <w:sz w:val="22"/>
              </w:rPr>
            </w:pPr>
          </w:p>
        </w:tc>
        <w:tc>
          <w:tcPr>
            <w:tcW w:w="8788" w:type="dxa"/>
            <w:gridSpan w:val="2"/>
            <w:tcBorders>
              <w:left w:val="nil"/>
            </w:tcBorders>
            <w:vAlign w:val="center"/>
          </w:tcPr>
          <w:p w14:paraId="361F9CB2"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b/>
                <w:bCs/>
                <w:sz w:val="22"/>
              </w:rPr>
              <w:t>Taux de 40% :</w:t>
            </w:r>
            <w:r w:rsidRPr="00123CE0">
              <w:rPr>
                <w:rFonts w:asciiTheme="minorHAnsi" w:hAnsiTheme="minorHAnsi"/>
                <w:sz w:val="22"/>
              </w:rPr>
              <w:t xml:space="preserve"> forfaitise les coûts hors frais directs de personnel dans la limite de 40% des coûts directs de personnel</w:t>
            </w:r>
          </w:p>
        </w:tc>
        <w:tc>
          <w:tcPr>
            <w:tcW w:w="1423" w:type="dxa"/>
            <w:vAlign w:val="center"/>
          </w:tcPr>
          <w:p w14:paraId="75CB307A"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709B6D01" wp14:editId="15B1ABB6">
                  <wp:extent cx="262393" cy="262393"/>
                  <wp:effectExtent l="0" t="0" r="4445" b="4445"/>
                  <wp:docPr id="784945399" name="Picture 78494539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213B2" w:rsidRPr="00123CE0" w14:paraId="18C1B429" w14:textId="77777777" w:rsidTr="000B288C">
        <w:tc>
          <w:tcPr>
            <w:tcW w:w="284" w:type="dxa"/>
            <w:tcBorders>
              <w:right w:val="nil"/>
            </w:tcBorders>
          </w:tcPr>
          <w:p w14:paraId="687A462F" w14:textId="77777777" w:rsidR="00B213B2" w:rsidRPr="00123CE0" w:rsidRDefault="00B213B2" w:rsidP="000B288C">
            <w:pPr>
              <w:spacing w:after="0" w:line="240" w:lineRule="auto"/>
              <w:rPr>
                <w:rFonts w:asciiTheme="minorHAnsi" w:hAnsiTheme="minorHAnsi"/>
                <w:sz w:val="22"/>
              </w:rPr>
            </w:pPr>
          </w:p>
        </w:tc>
        <w:tc>
          <w:tcPr>
            <w:tcW w:w="8788" w:type="dxa"/>
            <w:gridSpan w:val="2"/>
            <w:tcBorders>
              <w:left w:val="nil"/>
            </w:tcBorders>
            <w:vAlign w:val="center"/>
          </w:tcPr>
          <w:p w14:paraId="35E36A84" w14:textId="77777777" w:rsidR="00B213B2" w:rsidRPr="00123CE0" w:rsidRDefault="00B213B2" w:rsidP="000B288C">
            <w:pPr>
              <w:spacing w:after="0" w:line="240" w:lineRule="auto"/>
              <w:jc w:val="left"/>
              <w:rPr>
                <w:rFonts w:asciiTheme="minorHAnsi" w:hAnsiTheme="minorHAnsi"/>
                <w:b/>
                <w:bCs/>
                <w:sz w:val="22"/>
              </w:rPr>
            </w:pPr>
            <w:r w:rsidRPr="00123CE0">
              <w:rPr>
                <w:rFonts w:asciiTheme="minorHAnsi" w:hAnsiTheme="minorHAnsi"/>
                <w:b/>
                <w:bCs/>
                <w:sz w:val="22"/>
              </w:rPr>
              <w:t>Taux de 15% :</w:t>
            </w:r>
            <w:r w:rsidRPr="00123CE0">
              <w:rPr>
                <w:rFonts w:asciiTheme="minorHAnsi" w:hAnsiTheme="minorHAnsi"/>
                <w:sz w:val="22"/>
              </w:rPr>
              <w:t xml:space="preserve"> forfaitise les coûts indirects dans la limite de 15% des coûts directs de personnel</w:t>
            </w:r>
          </w:p>
        </w:tc>
        <w:tc>
          <w:tcPr>
            <w:tcW w:w="1423" w:type="dxa"/>
            <w:vAlign w:val="center"/>
          </w:tcPr>
          <w:p w14:paraId="707A23F0" w14:textId="77777777" w:rsidR="00B213B2" w:rsidRPr="00123CE0" w:rsidDel="0011628D" w:rsidRDefault="00B213B2" w:rsidP="000B288C">
            <w:pPr>
              <w:spacing w:after="0" w:line="240" w:lineRule="auto"/>
              <w:jc w:val="center"/>
              <w:rPr>
                <w:rFonts w:asciiTheme="minorHAnsi" w:hAnsiTheme="minorHAnsi"/>
                <w:b/>
                <w:bCs/>
                <w:noProof/>
                <w:color w:val="002060"/>
                <w:sz w:val="22"/>
              </w:rPr>
            </w:pPr>
            <w:r w:rsidRPr="00123CE0">
              <w:rPr>
                <w:rFonts w:asciiTheme="minorHAnsi" w:hAnsiTheme="minorHAnsi"/>
                <w:b/>
                <w:bCs/>
                <w:noProof/>
                <w:color w:val="002060"/>
                <w:sz w:val="22"/>
              </w:rPr>
              <w:drawing>
                <wp:inline distT="0" distB="0" distL="0" distR="0" wp14:anchorId="5C1531C4" wp14:editId="34232570">
                  <wp:extent cx="262393" cy="262393"/>
                  <wp:effectExtent l="0" t="0" r="4445" b="4445"/>
                  <wp:docPr id="784945400" name="Picture 7849454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213B2" w:rsidRPr="00123CE0" w14:paraId="207EB1D4" w14:textId="77777777" w:rsidTr="000B288C">
        <w:tc>
          <w:tcPr>
            <w:tcW w:w="284" w:type="dxa"/>
            <w:tcBorders>
              <w:right w:val="nil"/>
            </w:tcBorders>
          </w:tcPr>
          <w:p w14:paraId="5A295A0A" w14:textId="77777777" w:rsidR="00B213B2" w:rsidRPr="00123CE0" w:rsidRDefault="00B213B2" w:rsidP="000B288C">
            <w:pPr>
              <w:spacing w:after="0" w:line="240" w:lineRule="auto"/>
              <w:rPr>
                <w:rFonts w:asciiTheme="minorHAnsi" w:hAnsiTheme="minorHAnsi"/>
                <w:sz w:val="22"/>
              </w:rPr>
            </w:pPr>
          </w:p>
        </w:tc>
        <w:tc>
          <w:tcPr>
            <w:tcW w:w="8788" w:type="dxa"/>
            <w:gridSpan w:val="2"/>
            <w:tcBorders>
              <w:left w:val="nil"/>
            </w:tcBorders>
            <w:vAlign w:val="center"/>
          </w:tcPr>
          <w:p w14:paraId="7F7026F8" w14:textId="77777777" w:rsidR="00B213B2" w:rsidRPr="00123CE0" w:rsidRDefault="00B213B2" w:rsidP="000B288C">
            <w:pPr>
              <w:spacing w:after="0" w:line="240" w:lineRule="auto"/>
              <w:jc w:val="left"/>
              <w:rPr>
                <w:rFonts w:asciiTheme="minorHAnsi" w:hAnsiTheme="minorHAnsi"/>
                <w:b/>
                <w:bCs/>
                <w:sz w:val="22"/>
              </w:rPr>
            </w:pPr>
            <w:r w:rsidRPr="00123CE0">
              <w:rPr>
                <w:rFonts w:asciiTheme="minorHAnsi" w:hAnsiTheme="minorHAnsi"/>
                <w:b/>
                <w:bCs/>
                <w:sz w:val="22"/>
              </w:rPr>
              <w:t>Taux de 20% :</w:t>
            </w:r>
            <w:r w:rsidRPr="00123CE0">
              <w:rPr>
                <w:rFonts w:asciiTheme="minorHAnsi" w:hAnsiTheme="minorHAnsi"/>
                <w:sz w:val="22"/>
              </w:rPr>
              <w:t xml:space="preserve"> forfaitise les coûts de personnel directs dans la limite de 20% des coûts directs hors frais de personnel directs</w:t>
            </w:r>
          </w:p>
        </w:tc>
        <w:tc>
          <w:tcPr>
            <w:tcW w:w="1423" w:type="dxa"/>
            <w:vAlign w:val="center"/>
          </w:tcPr>
          <w:p w14:paraId="0C93E32B" w14:textId="77777777" w:rsidR="00B213B2" w:rsidRPr="00123CE0" w:rsidDel="0011628D" w:rsidRDefault="00B213B2" w:rsidP="000B288C">
            <w:pPr>
              <w:spacing w:after="0" w:line="240" w:lineRule="auto"/>
              <w:jc w:val="center"/>
              <w:rPr>
                <w:rFonts w:asciiTheme="minorHAnsi" w:hAnsiTheme="minorHAnsi"/>
                <w:b/>
                <w:bCs/>
                <w:noProof/>
                <w:color w:val="002060"/>
                <w:sz w:val="22"/>
              </w:rPr>
            </w:pPr>
            <w:r w:rsidRPr="00123CE0">
              <w:rPr>
                <w:rFonts w:asciiTheme="minorHAnsi" w:hAnsiTheme="minorHAnsi"/>
                <w:b/>
                <w:bCs/>
                <w:noProof/>
                <w:color w:val="002060"/>
                <w:sz w:val="22"/>
              </w:rPr>
              <w:drawing>
                <wp:inline distT="0" distB="0" distL="0" distR="0" wp14:anchorId="43600F7B" wp14:editId="573EBAB3">
                  <wp:extent cx="262255" cy="262255"/>
                  <wp:effectExtent l="0" t="0" r="4445" b="4445"/>
                  <wp:docPr id="784945401" name="Picture 78494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inline>
              </w:drawing>
            </w:r>
          </w:p>
        </w:tc>
      </w:tr>
      <w:tr w:rsidR="00B213B2" w:rsidRPr="00123CE0" w14:paraId="0253C71F" w14:textId="77777777" w:rsidTr="000B288C">
        <w:tc>
          <w:tcPr>
            <w:tcW w:w="284" w:type="dxa"/>
            <w:tcBorders>
              <w:right w:val="nil"/>
            </w:tcBorders>
          </w:tcPr>
          <w:p w14:paraId="3778D740" w14:textId="77777777" w:rsidR="00B213B2" w:rsidRPr="00123CE0" w:rsidRDefault="00B213B2" w:rsidP="000B288C">
            <w:pPr>
              <w:spacing w:after="0" w:line="240" w:lineRule="auto"/>
              <w:rPr>
                <w:rFonts w:asciiTheme="minorHAnsi" w:hAnsiTheme="minorHAnsi"/>
                <w:sz w:val="22"/>
              </w:rPr>
            </w:pPr>
          </w:p>
        </w:tc>
        <w:tc>
          <w:tcPr>
            <w:tcW w:w="8788" w:type="dxa"/>
            <w:gridSpan w:val="2"/>
            <w:tcBorders>
              <w:left w:val="nil"/>
            </w:tcBorders>
            <w:vAlign w:val="center"/>
          </w:tcPr>
          <w:p w14:paraId="31E685CC" w14:textId="77777777" w:rsidR="00B213B2" w:rsidRPr="00123CE0" w:rsidRDefault="00B213B2" w:rsidP="000B288C">
            <w:pPr>
              <w:spacing w:after="0" w:line="240" w:lineRule="auto"/>
              <w:jc w:val="left"/>
              <w:rPr>
                <w:rFonts w:asciiTheme="minorHAnsi" w:hAnsiTheme="minorHAnsi"/>
                <w:b/>
                <w:bCs/>
                <w:sz w:val="22"/>
              </w:rPr>
            </w:pPr>
            <w:r w:rsidRPr="00123CE0">
              <w:rPr>
                <w:rFonts w:asciiTheme="minorHAnsi" w:hAnsiTheme="minorHAnsi"/>
                <w:b/>
                <w:bCs/>
                <w:sz w:val="22"/>
              </w:rPr>
              <w:t>Taux de 7% :</w:t>
            </w:r>
            <w:r w:rsidRPr="00123CE0">
              <w:rPr>
                <w:rFonts w:asciiTheme="minorHAnsi" w:hAnsiTheme="minorHAnsi"/>
                <w:sz w:val="22"/>
              </w:rPr>
              <w:t xml:space="preserve"> forfaitise les coûts indirects dans la limite de 7% des coûts directs</w:t>
            </w:r>
          </w:p>
        </w:tc>
        <w:tc>
          <w:tcPr>
            <w:tcW w:w="1423" w:type="dxa"/>
            <w:vAlign w:val="center"/>
          </w:tcPr>
          <w:p w14:paraId="73A7AAE3" w14:textId="77777777" w:rsidR="00B213B2" w:rsidRPr="00123CE0" w:rsidRDefault="00B213B2" w:rsidP="000B288C">
            <w:pPr>
              <w:spacing w:after="0" w:line="240" w:lineRule="auto"/>
              <w:jc w:val="center"/>
              <w:rPr>
                <w:rFonts w:asciiTheme="minorHAnsi" w:hAnsiTheme="minorHAnsi"/>
                <w:b/>
                <w:bCs/>
                <w:noProof/>
                <w:color w:val="002060"/>
                <w:sz w:val="22"/>
              </w:rPr>
            </w:pPr>
            <w:r w:rsidRPr="00123CE0">
              <w:rPr>
                <w:rFonts w:asciiTheme="minorHAnsi" w:hAnsiTheme="minorHAnsi"/>
                <w:b/>
                <w:bCs/>
                <w:noProof/>
                <w:color w:val="002060"/>
                <w:sz w:val="22"/>
              </w:rPr>
              <w:drawing>
                <wp:inline distT="0" distB="0" distL="0" distR="0" wp14:anchorId="1C8D36C7" wp14:editId="707B2A49">
                  <wp:extent cx="262393" cy="262393"/>
                  <wp:effectExtent l="0" t="0" r="4445" b="4445"/>
                  <wp:docPr id="784945402" name="Picture 78494540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213B2" w:rsidRPr="00123CE0" w14:paraId="1D0C2205" w14:textId="77777777" w:rsidTr="000B288C">
        <w:tc>
          <w:tcPr>
            <w:tcW w:w="284" w:type="dxa"/>
            <w:tcBorders>
              <w:right w:val="nil"/>
            </w:tcBorders>
          </w:tcPr>
          <w:p w14:paraId="630A9F17" w14:textId="77777777" w:rsidR="00B213B2" w:rsidRPr="00123CE0" w:rsidRDefault="00B213B2" w:rsidP="000B288C">
            <w:pPr>
              <w:spacing w:after="0" w:line="240" w:lineRule="auto"/>
              <w:rPr>
                <w:rFonts w:asciiTheme="minorHAnsi" w:hAnsiTheme="minorHAnsi"/>
                <w:sz w:val="22"/>
              </w:rPr>
            </w:pPr>
          </w:p>
        </w:tc>
        <w:tc>
          <w:tcPr>
            <w:tcW w:w="8788" w:type="dxa"/>
            <w:gridSpan w:val="2"/>
            <w:tcBorders>
              <w:left w:val="nil"/>
            </w:tcBorders>
            <w:vAlign w:val="center"/>
          </w:tcPr>
          <w:p w14:paraId="2986235B"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Taux forfaitaire(s) applicable(s) dans d’autres politiques de l’UE pour des opérations similaires</w:t>
            </w:r>
          </w:p>
        </w:tc>
        <w:tc>
          <w:tcPr>
            <w:tcW w:w="1423" w:type="dxa"/>
            <w:vAlign w:val="center"/>
          </w:tcPr>
          <w:p w14:paraId="1A07170E"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401222FD" wp14:editId="12D5101E">
                  <wp:extent cx="230588" cy="230588"/>
                  <wp:effectExtent l="0" t="0" r="0" b="0"/>
                  <wp:docPr id="784945403" name="Picture 78494540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4DF3527B" w14:textId="77777777" w:rsidTr="000B288C">
        <w:tc>
          <w:tcPr>
            <w:tcW w:w="9072" w:type="dxa"/>
            <w:gridSpan w:val="3"/>
            <w:vAlign w:val="center"/>
          </w:tcPr>
          <w:p w14:paraId="7581DA8D" w14:textId="77777777" w:rsidR="00B213B2" w:rsidRPr="00123CE0" w:rsidRDefault="00B213B2" w:rsidP="000B288C">
            <w:pPr>
              <w:spacing w:after="0" w:line="240" w:lineRule="auto"/>
              <w:jc w:val="left"/>
              <w:rPr>
                <w:rFonts w:asciiTheme="minorHAnsi" w:hAnsiTheme="minorHAnsi"/>
                <w:b/>
                <w:bCs/>
                <w:color w:val="002060"/>
                <w:sz w:val="22"/>
              </w:rPr>
            </w:pPr>
            <w:r w:rsidRPr="00123CE0">
              <w:rPr>
                <w:rFonts w:asciiTheme="minorHAnsi" w:hAnsiTheme="minorHAnsi"/>
                <w:b/>
                <w:bCs/>
                <w:color w:val="002060"/>
                <w:sz w:val="22"/>
              </w:rPr>
              <w:t>Montants forfaitaires</w:t>
            </w:r>
          </w:p>
        </w:tc>
        <w:tc>
          <w:tcPr>
            <w:tcW w:w="1423" w:type="dxa"/>
            <w:vAlign w:val="center"/>
          </w:tcPr>
          <w:p w14:paraId="11AA5108" w14:textId="77777777" w:rsidR="00B213B2" w:rsidRPr="00123CE0" w:rsidRDefault="00B213B2" w:rsidP="000B288C">
            <w:pPr>
              <w:spacing w:after="0" w:line="240" w:lineRule="auto"/>
              <w:jc w:val="center"/>
              <w:rPr>
                <w:rFonts w:asciiTheme="minorHAnsi" w:hAnsiTheme="minorHAnsi"/>
                <w:b/>
                <w:bCs/>
                <w:color w:val="002060"/>
                <w:sz w:val="22"/>
              </w:rPr>
            </w:pPr>
            <w:r w:rsidRPr="00123CE0">
              <w:rPr>
                <w:rFonts w:asciiTheme="minorHAnsi" w:hAnsiTheme="minorHAnsi"/>
                <w:b/>
                <w:bCs/>
                <w:noProof/>
                <w:color w:val="002060"/>
                <w:sz w:val="22"/>
              </w:rPr>
              <w:drawing>
                <wp:inline distT="0" distB="0" distL="0" distR="0" wp14:anchorId="12D7F7F6" wp14:editId="02506087">
                  <wp:extent cx="230588" cy="230588"/>
                  <wp:effectExtent l="0" t="0" r="0" b="0"/>
                  <wp:docPr id="784945404" name="Picture 7849454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1F44AA15" w14:textId="77777777" w:rsidTr="000B288C">
        <w:tc>
          <w:tcPr>
            <w:tcW w:w="9072" w:type="dxa"/>
            <w:gridSpan w:val="3"/>
            <w:vAlign w:val="center"/>
          </w:tcPr>
          <w:p w14:paraId="0AB029D4" w14:textId="77777777" w:rsidR="00B213B2" w:rsidRPr="00123CE0" w:rsidRDefault="00B213B2" w:rsidP="000B288C">
            <w:pPr>
              <w:spacing w:after="0" w:line="240" w:lineRule="auto"/>
              <w:jc w:val="left"/>
              <w:rPr>
                <w:rFonts w:asciiTheme="minorHAnsi" w:hAnsiTheme="minorHAnsi"/>
                <w:b/>
                <w:bCs/>
                <w:color w:val="002060"/>
                <w:sz w:val="22"/>
              </w:rPr>
            </w:pPr>
            <w:r w:rsidRPr="00123CE0">
              <w:rPr>
                <w:rFonts w:asciiTheme="minorHAnsi" w:hAnsiTheme="minorHAnsi"/>
                <w:b/>
                <w:bCs/>
                <w:color w:val="002060"/>
                <w:sz w:val="22"/>
              </w:rPr>
              <w:t>Barème standard de coût unitaire</w:t>
            </w:r>
          </w:p>
        </w:tc>
        <w:tc>
          <w:tcPr>
            <w:tcW w:w="1423" w:type="dxa"/>
            <w:vAlign w:val="center"/>
          </w:tcPr>
          <w:p w14:paraId="23416822" w14:textId="77777777" w:rsidR="00B213B2" w:rsidRPr="00123CE0" w:rsidRDefault="00B213B2" w:rsidP="000B288C">
            <w:pPr>
              <w:spacing w:after="0" w:line="240" w:lineRule="auto"/>
              <w:jc w:val="center"/>
              <w:rPr>
                <w:rFonts w:asciiTheme="minorHAnsi" w:hAnsiTheme="minorHAnsi"/>
                <w:b/>
                <w:bCs/>
                <w:color w:val="002060"/>
                <w:sz w:val="22"/>
              </w:rPr>
            </w:pPr>
            <w:r w:rsidRPr="00123CE0">
              <w:rPr>
                <w:rFonts w:asciiTheme="minorHAnsi" w:hAnsiTheme="minorHAnsi"/>
                <w:b/>
                <w:bCs/>
                <w:noProof/>
                <w:color w:val="002060"/>
                <w:sz w:val="22"/>
              </w:rPr>
              <w:drawing>
                <wp:inline distT="0" distB="0" distL="0" distR="0" wp14:anchorId="6093CB72" wp14:editId="20F0BB4C">
                  <wp:extent cx="246490" cy="246490"/>
                  <wp:effectExtent l="0" t="0" r="1270" b="1270"/>
                  <wp:docPr id="784945405" name="Picture 7849454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595" cy="254595"/>
                          </a:xfrm>
                          <a:prstGeom prst="rect">
                            <a:avLst/>
                          </a:prstGeom>
                        </pic:spPr>
                      </pic:pic>
                    </a:graphicData>
                  </a:graphic>
                </wp:inline>
              </w:drawing>
            </w:r>
          </w:p>
        </w:tc>
      </w:tr>
    </w:tbl>
    <w:p w14:paraId="283DB748" w14:textId="77777777" w:rsidR="00B213B2" w:rsidRPr="00123CE0" w:rsidRDefault="00B213B2" w:rsidP="00B213B2">
      <w:pPr>
        <w:spacing w:after="0" w:line="240" w:lineRule="auto"/>
        <w:rPr>
          <w:rFonts w:asciiTheme="minorHAnsi" w:hAnsiTheme="minorHAnsi"/>
          <w:sz w:val="22"/>
        </w:rPr>
      </w:pPr>
    </w:p>
    <w:p w14:paraId="62ACFBDA" w14:textId="77777777" w:rsidR="00B213B2" w:rsidRPr="00123CE0" w:rsidRDefault="00B213B2" w:rsidP="00B213B2">
      <w:pPr>
        <w:shd w:val="clear" w:color="auto" w:fill="E2EFD9" w:themeFill="accent6"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AD47" w:themeFill="accent6"/>
        </w:rPr>
        <w:t>MODALITÉS DE FINANCEMENT ?</w:t>
      </w:r>
      <w:r w:rsidRPr="00123CE0">
        <w:rPr>
          <w:rFonts w:asciiTheme="minorHAnsi" w:hAnsiTheme="minorHAnsi"/>
          <w:b/>
          <w:bCs/>
          <w:sz w:val="28"/>
          <w:szCs w:val="28"/>
          <w:shd w:val="clear" w:color="auto" w:fill="70AD47" w:themeFill="accent6"/>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Taux d’aide applicables et seuils d’intervention FEDER</w:t>
      </w:r>
    </w:p>
    <w:p w14:paraId="2146CAF7" w14:textId="77777777" w:rsidR="00B213B2" w:rsidRPr="00123CE0" w:rsidRDefault="00B213B2" w:rsidP="00B213B2">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4406"/>
        <w:gridCol w:w="6079"/>
      </w:tblGrid>
      <w:tr w:rsidR="00B213B2" w:rsidRPr="00123CE0" w14:paraId="728BF5A9" w14:textId="77777777" w:rsidTr="000B288C">
        <w:trPr>
          <w:trHeight w:val="1997"/>
        </w:trPr>
        <w:tc>
          <w:tcPr>
            <w:tcW w:w="4406" w:type="dxa"/>
            <w:vAlign w:val="center"/>
          </w:tcPr>
          <w:p w14:paraId="33E5275E" w14:textId="77777777" w:rsidR="00B213B2" w:rsidRPr="00123CE0" w:rsidRDefault="00B213B2" w:rsidP="000B288C">
            <w:pPr>
              <w:spacing w:after="0" w:line="240" w:lineRule="auto"/>
              <w:jc w:val="center"/>
              <w:rPr>
                <w:rFonts w:asciiTheme="minorHAnsi" w:hAnsiTheme="minorHAnsi"/>
                <w:b/>
                <w:bCs/>
                <w:sz w:val="22"/>
              </w:rPr>
            </w:pPr>
            <w:r w:rsidRPr="37B61EA9">
              <w:rPr>
                <w:rFonts w:asciiTheme="minorHAnsi" w:hAnsiTheme="minorHAnsi"/>
                <w:b/>
                <w:bCs/>
                <w:sz w:val="22"/>
              </w:rPr>
              <w:t>Taux maximum indicatif FEDER du coût total éligible</w:t>
            </w:r>
          </w:p>
          <w:p w14:paraId="79241F7B" w14:textId="77777777" w:rsidR="00B213B2" w:rsidRPr="00123CE0" w:rsidRDefault="00B213B2" w:rsidP="000B288C">
            <w:pPr>
              <w:spacing w:after="0" w:line="240" w:lineRule="auto"/>
              <w:jc w:val="center"/>
              <w:rPr>
                <w:rFonts w:asciiTheme="minorHAnsi" w:hAnsiTheme="minorHAnsi"/>
                <w:szCs w:val="20"/>
              </w:rPr>
            </w:pPr>
            <w:r w:rsidRPr="00123CE0">
              <w:rPr>
                <w:rFonts w:asciiTheme="minorHAnsi" w:hAnsiTheme="minorHAnsi"/>
                <w:szCs w:val="20"/>
              </w:rPr>
              <w:t>(Sous réserve de la règlementation en matière d’aide d’Etat) : 54 %</w:t>
            </w:r>
          </w:p>
          <w:p w14:paraId="79D8A5D2" w14:textId="77777777" w:rsidR="00B213B2" w:rsidRPr="00123CE0" w:rsidRDefault="00B213B2" w:rsidP="000B288C">
            <w:pPr>
              <w:spacing w:after="0" w:line="240" w:lineRule="auto"/>
              <w:jc w:val="center"/>
              <w:rPr>
                <w:rFonts w:asciiTheme="minorHAnsi" w:hAnsiTheme="minorHAnsi"/>
                <w:szCs w:val="20"/>
              </w:rPr>
            </w:pPr>
          </w:p>
          <w:p w14:paraId="075E581D" w14:textId="77777777" w:rsidR="00B213B2" w:rsidRPr="00123CE0" w:rsidRDefault="00B213B2" w:rsidP="000B288C">
            <w:pPr>
              <w:spacing w:after="0" w:line="240" w:lineRule="auto"/>
              <w:jc w:val="left"/>
              <w:rPr>
                <w:rFonts w:asciiTheme="minorHAnsi" w:hAnsiTheme="minorHAnsi"/>
                <w:sz w:val="22"/>
              </w:rPr>
            </w:pPr>
            <w:r w:rsidRPr="37B61EA9">
              <w:rPr>
                <w:rFonts w:asciiTheme="minorHAnsi" w:hAnsiTheme="minorHAnsi"/>
                <w:b/>
                <w:bCs/>
                <w:sz w:val="22"/>
              </w:rPr>
              <w:t>Dépenses d’animation PEP/PAPI/SLGRI : taux FEDER :</w:t>
            </w:r>
            <w:r w:rsidRPr="37B61EA9">
              <w:rPr>
                <w:rFonts w:asciiTheme="minorHAnsi" w:hAnsiTheme="minorHAnsi"/>
                <w:sz w:val="22"/>
              </w:rPr>
              <w:t xml:space="preserve"> 30% des couts éligibles</w:t>
            </w:r>
          </w:p>
          <w:p w14:paraId="4966F686" w14:textId="77777777" w:rsidR="00B213B2" w:rsidRPr="00123CE0" w:rsidRDefault="00B213B2" w:rsidP="000B288C">
            <w:pPr>
              <w:spacing w:after="0" w:line="240" w:lineRule="auto"/>
              <w:jc w:val="left"/>
              <w:rPr>
                <w:rFonts w:asciiTheme="minorHAnsi" w:hAnsiTheme="minorHAnsi"/>
                <w:sz w:val="22"/>
              </w:rPr>
            </w:pPr>
          </w:p>
          <w:p w14:paraId="0E0C500B" w14:textId="77777777" w:rsidR="00B213B2" w:rsidRPr="00123CE0" w:rsidRDefault="00B213B2" w:rsidP="000B288C">
            <w:pPr>
              <w:spacing w:after="0" w:line="240" w:lineRule="auto"/>
              <w:jc w:val="center"/>
              <w:rPr>
                <w:rFonts w:asciiTheme="minorHAnsi" w:hAnsiTheme="minorHAnsi"/>
                <w:sz w:val="22"/>
              </w:rPr>
            </w:pPr>
            <w:r w:rsidRPr="37B61EA9">
              <w:rPr>
                <w:rFonts w:asciiTheme="minorHAnsi" w:hAnsiTheme="minorHAnsi"/>
                <w:b/>
                <w:bCs/>
                <w:sz w:val="22"/>
              </w:rPr>
              <w:t xml:space="preserve">PEP </w:t>
            </w:r>
            <w:r w:rsidRPr="37B61EA9">
              <w:rPr>
                <w:rFonts w:asciiTheme="minorHAnsi" w:hAnsiTheme="minorHAnsi"/>
                <w:sz w:val="22"/>
              </w:rPr>
              <w:t>: animation maximum d’un ETP sur 3 ans (et renouvelable 1 année) dans la limite du montant éligible de 60 000 € /an</w:t>
            </w:r>
          </w:p>
          <w:p w14:paraId="096775EA" w14:textId="77777777" w:rsidR="00B213B2" w:rsidRPr="00123CE0" w:rsidRDefault="00B213B2" w:rsidP="000B288C">
            <w:pPr>
              <w:spacing w:after="0" w:line="240" w:lineRule="auto"/>
              <w:jc w:val="center"/>
              <w:rPr>
                <w:rFonts w:asciiTheme="minorHAnsi" w:hAnsiTheme="minorHAnsi"/>
                <w:sz w:val="22"/>
              </w:rPr>
            </w:pPr>
          </w:p>
          <w:p w14:paraId="61234329" w14:textId="77777777" w:rsidR="00B213B2" w:rsidRPr="00123CE0" w:rsidRDefault="00B213B2" w:rsidP="000B288C">
            <w:pPr>
              <w:spacing w:after="0" w:line="240" w:lineRule="auto"/>
              <w:jc w:val="left"/>
              <w:rPr>
                <w:rFonts w:asciiTheme="minorHAnsi" w:hAnsiTheme="minorHAnsi"/>
                <w:sz w:val="22"/>
              </w:rPr>
            </w:pPr>
            <w:r w:rsidRPr="37B61EA9">
              <w:rPr>
                <w:rFonts w:asciiTheme="minorHAnsi" w:hAnsiTheme="minorHAnsi"/>
                <w:b/>
                <w:bCs/>
                <w:sz w:val="22"/>
              </w:rPr>
              <w:t xml:space="preserve">PAPI </w:t>
            </w:r>
            <w:r w:rsidRPr="37B61EA9">
              <w:rPr>
                <w:rFonts w:asciiTheme="minorHAnsi" w:hAnsiTheme="minorHAnsi"/>
                <w:sz w:val="22"/>
              </w:rPr>
              <w:t>: animation maximum d’un ETP sur 6 ans dans la limite du montant éligible de 60 000 €/an</w:t>
            </w:r>
          </w:p>
          <w:p w14:paraId="20D45BBB" w14:textId="77777777" w:rsidR="00B213B2" w:rsidRPr="00123CE0" w:rsidRDefault="00B213B2" w:rsidP="000B288C">
            <w:pPr>
              <w:spacing w:after="0" w:line="240" w:lineRule="auto"/>
              <w:jc w:val="left"/>
              <w:rPr>
                <w:rFonts w:asciiTheme="minorHAnsi" w:hAnsiTheme="minorHAnsi"/>
                <w:sz w:val="22"/>
              </w:rPr>
            </w:pPr>
          </w:p>
          <w:p w14:paraId="0DCFD4A0" w14:textId="77777777" w:rsidR="00B213B2" w:rsidRPr="00123CE0" w:rsidRDefault="00B213B2" w:rsidP="000B288C">
            <w:pPr>
              <w:spacing w:after="0" w:line="240" w:lineRule="auto"/>
              <w:jc w:val="center"/>
              <w:rPr>
                <w:rFonts w:asciiTheme="minorHAnsi" w:hAnsiTheme="minorHAnsi"/>
                <w:sz w:val="22"/>
              </w:rPr>
            </w:pPr>
            <w:r w:rsidRPr="37B61EA9">
              <w:rPr>
                <w:rFonts w:asciiTheme="minorHAnsi" w:hAnsiTheme="minorHAnsi"/>
                <w:b/>
                <w:bCs/>
                <w:sz w:val="22"/>
              </w:rPr>
              <w:t>SLGRI de Roanne</w:t>
            </w:r>
            <w:r w:rsidRPr="37B61EA9">
              <w:rPr>
                <w:rFonts w:asciiTheme="minorHAnsi" w:hAnsiTheme="minorHAnsi"/>
                <w:sz w:val="22"/>
              </w:rPr>
              <w:t xml:space="preserve"> : animation maximum d’un ETP sur 6 ans dans la limite du montant éligible de 60  000€ /an</w:t>
            </w:r>
          </w:p>
          <w:p w14:paraId="791CC0BC" w14:textId="77777777" w:rsidR="00B213B2" w:rsidRPr="00123CE0" w:rsidRDefault="00B213B2" w:rsidP="000B288C">
            <w:pPr>
              <w:spacing w:after="0" w:line="240" w:lineRule="auto"/>
              <w:jc w:val="center"/>
              <w:rPr>
                <w:rFonts w:asciiTheme="minorHAnsi" w:hAnsiTheme="minorHAnsi"/>
                <w:sz w:val="22"/>
              </w:rPr>
            </w:pPr>
          </w:p>
          <w:p w14:paraId="5F1AD87E" w14:textId="77777777" w:rsidR="00B213B2" w:rsidRPr="00123CE0" w:rsidRDefault="00B213B2" w:rsidP="000B288C">
            <w:pPr>
              <w:spacing w:after="0" w:line="240" w:lineRule="auto"/>
              <w:jc w:val="left"/>
              <w:rPr>
                <w:rFonts w:asciiTheme="minorHAnsi" w:hAnsiTheme="minorHAnsi"/>
                <w:sz w:val="22"/>
              </w:rPr>
            </w:pPr>
            <w:r w:rsidRPr="37B61EA9">
              <w:rPr>
                <w:rFonts w:asciiTheme="minorHAnsi" w:hAnsiTheme="minorHAnsi"/>
                <w:b/>
                <w:bCs/>
                <w:sz w:val="22"/>
              </w:rPr>
              <w:t>Projet de sensibilisation/prise en du risque inondation, plan de continuité, projets démonstrateurs</w:t>
            </w:r>
            <w:r w:rsidRPr="37B61EA9">
              <w:rPr>
                <w:rFonts w:asciiTheme="minorHAnsi" w:hAnsiTheme="minorHAnsi"/>
                <w:sz w:val="22"/>
              </w:rPr>
              <w:t xml:space="preserve"> … : 54 % des couts éligibles</w:t>
            </w:r>
          </w:p>
          <w:p w14:paraId="23F03EB4" w14:textId="77777777" w:rsidR="00B213B2" w:rsidRPr="00123CE0" w:rsidRDefault="00B213B2" w:rsidP="000B288C">
            <w:pPr>
              <w:spacing w:after="0" w:line="240" w:lineRule="auto"/>
              <w:jc w:val="left"/>
              <w:rPr>
                <w:rFonts w:asciiTheme="minorHAnsi" w:hAnsiTheme="minorHAnsi"/>
                <w:sz w:val="22"/>
              </w:rPr>
            </w:pPr>
          </w:p>
          <w:p w14:paraId="52A24C91" w14:textId="77777777" w:rsidR="00B213B2" w:rsidRPr="00123CE0" w:rsidRDefault="00B213B2" w:rsidP="000B288C">
            <w:pPr>
              <w:spacing w:after="0" w:line="240" w:lineRule="auto"/>
              <w:jc w:val="left"/>
              <w:rPr>
                <w:rFonts w:asciiTheme="minorHAnsi" w:hAnsiTheme="minorHAnsi"/>
                <w:sz w:val="22"/>
              </w:rPr>
            </w:pPr>
            <w:r w:rsidRPr="37B61EA9">
              <w:rPr>
                <w:rFonts w:asciiTheme="minorHAnsi" w:hAnsiTheme="minorHAnsi"/>
                <w:b/>
                <w:bCs/>
                <w:sz w:val="22"/>
              </w:rPr>
              <w:t>Projet de recherche, d’acquisition et de partage de la connaissance et d’études</w:t>
            </w:r>
            <w:r w:rsidRPr="37B61EA9">
              <w:rPr>
                <w:rFonts w:asciiTheme="minorHAnsi" w:hAnsiTheme="minorHAnsi"/>
                <w:sz w:val="22"/>
              </w:rPr>
              <w:t xml:space="preserve"> : 54 % des couts éligibles</w:t>
            </w:r>
          </w:p>
          <w:p w14:paraId="376033F6" w14:textId="77777777" w:rsidR="00B213B2" w:rsidRPr="00123CE0" w:rsidRDefault="00B213B2" w:rsidP="000B288C">
            <w:pPr>
              <w:spacing w:after="0" w:line="240" w:lineRule="auto"/>
              <w:jc w:val="left"/>
              <w:rPr>
                <w:rFonts w:asciiTheme="minorHAnsi" w:hAnsiTheme="minorHAnsi"/>
                <w:sz w:val="22"/>
              </w:rPr>
            </w:pPr>
          </w:p>
          <w:p w14:paraId="00B643AE" w14:textId="77777777" w:rsidR="00B213B2" w:rsidRPr="00123CE0" w:rsidRDefault="00B213B2" w:rsidP="000B288C">
            <w:pPr>
              <w:spacing w:after="0" w:line="240" w:lineRule="auto"/>
              <w:jc w:val="center"/>
              <w:rPr>
                <w:rFonts w:asciiTheme="minorHAnsi" w:hAnsiTheme="minorHAnsi"/>
                <w:b/>
                <w:bCs/>
                <w:sz w:val="22"/>
              </w:rPr>
            </w:pPr>
            <w:r w:rsidRPr="37B61EA9">
              <w:rPr>
                <w:rFonts w:asciiTheme="minorHAnsi" w:hAnsiTheme="minorHAnsi"/>
                <w:b/>
                <w:bCs/>
                <w:sz w:val="22"/>
              </w:rPr>
              <w:t>Dépenses de travaux</w:t>
            </w:r>
            <w:r w:rsidRPr="37B61EA9">
              <w:rPr>
                <w:rFonts w:asciiTheme="minorHAnsi" w:hAnsiTheme="minorHAnsi"/>
                <w:sz w:val="22"/>
              </w:rPr>
              <w:t xml:space="preserve"> : 30 % du cout total éligibles</w:t>
            </w:r>
          </w:p>
        </w:tc>
        <w:tc>
          <w:tcPr>
            <w:tcW w:w="6079" w:type="dxa"/>
            <w:vAlign w:val="center"/>
          </w:tcPr>
          <w:p w14:paraId="6B4F1F7C" w14:textId="77777777" w:rsidR="00B213B2" w:rsidRPr="00123CE0" w:rsidRDefault="00B213B2" w:rsidP="000B288C">
            <w:pPr>
              <w:spacing w:after="0" w:line="240" w:lineRule="auto"/>
              <w:jc w:val="left"/>
              <w:rPr>
                <w:rFonts w:asciiTheme="minorHAnsi" w:hAnsiTheme="minorHAnsi"/>
                <w:b/>
                <w:bCs/>
                <w:sz w:val="22"/>
              </w:rPr>
            </w:pPr>
            <w:r w:rsidRPr="00123CE0">
              <w:rPr>
                <w:rFonts w:asciiTheme="minorHAnsi" w:hAnsiTheme="minorHAnsi"/>
                <w:b/>
                <w:bCs/>
                <w:sz w:val="22"/>
              </w:rPr>
              <w:t xml:space="preserve">Régimes d’aides applicables : </w:t>
            </w:r>
          </w:p>
          <w:p w14:paraId="5577B781" w14:textId="77777777" w:rsidR="00B213B2" w:rsidRPr="00123CE0" w:rsidRDefault="00B213B2" w:rsidP="000B288C">
            <w:pPr>
              <w:numPr>
                <w:ilvl w:val="0"/>
                <w:numId w:val="1"/>
              </w:numPr>
              <w:spacing w:after="0" w:line="240" w:lineRule="auto"/>
              <w:jc w:val="left"/>
              <w:rPr>
                <w:rFonts w:asciiTheme="minorHAnsi" w:hAnsiTheme="minorHAnsi"/>
                <w:szCs w:val="20"/>
              </w:rPr>
            </w:pPr>
            <w:r w:rsidRPr="75B9F01A">
              <w:rPr>
                <w:rFonts w:asciiTheme="minorHAnsi" w:hAnsiTheme="minorHAnsi"/>
              </w:rPr>
              <w:t>Toute base juridique pertinente</w:t>
            </w:r>
          </w:p>
          <w:p w14:paraId="6CC7C4F9" w14:textId="77777777" w:rsidR="00B213B2" w:rsidRPr="00123CE0" w:rsidRDefault="00B213B2"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Régime Général d’Exemption par Catégorie (RGEC) n°651/2014 du 17 juin 2014. </w:t>
            </w:r>
          </w:p>
          <w:p w14:paraId="46DC80FD" w14:textId="77777777" w:rsidR="00B213B2" w:rsidRPr="00123CE0" w:rsidRDefault="00B213B2"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Règlement (UE) n° 360/2012 du 25 avril 2012 relatif aux aides de minimis SIEG (Services d’Intérêt Économique Général). </w:t>
            </w:r>
          </w:p>
          <w:p w14:paraId="144D3F8E" w14:textId="77777777" w:rsidR="00B213B2" w:rsidRPr="00123CE0" w:rsidRDefault="00B213B2" w:rsidP="000B288C">
            <w:pPr>
              <w:numPr>
                <w:ilvl w:val="0"/>
                <w:numId w:val="1"/>
              </w:numPr>
              <w:spacing w:after="0" w:line="240" w:lineRule="auto"/>
              <w:jc w:val="left"/>
              <w:rPr>
                <w:rFonts w:asciiTheme="minorHAnsi" w:hAnsiTheme="minorHAnsi"/>
                <w:sz w:val="22"/>
              </w:rPr>
            </w:pPr>
            <w:r w:rsidRPr="75B9F01A">
              <w:rPr>
                <w:rFonts w:asciiTheme="minorHAnsi" w:hAnsiTheme="minorHAnsi"/>
              </w:rPr>
              <w:t xml:space="preserve">Règlement (UE) n°1407/2013 du 18 décembre 2013 relatif aux aides de minimis. </w:t>
            </w:r>
          </w:p>
        </w:tc>
      </w:tr>
      <w:tr w:rsidR="00B213B2" w:rsidRPr="00123CE0" w14:paraId="4B0F54C1" w14:textId="77777777" w:rsidTr="000B288C">
        <w:trPr>
          <w:trHeight w:val="827"/>
        </w:trPr>
        <w:tc>
          <w:tcPr>
            <w:tcW w:w="4406" w:type="dxa"/>
          </w:tcPr>
          <w:p w14:paraId="7E5C54BE" w14:textId="77777777" w:rsidR="00B213B2" w:rsidRPr="00123CE0" w:rsidRDefault="00B213B2" w:rsidP="000B288C">
            <w:pPr>
              <w:spacing w:after="0" w:line="240" w:lineRule="auto"/>
              <w:jc w:val="center"/>
              <w:rPr>
                <w:rFonts w:asciiTheme="minorHAnsi" w:hAnsiTheme="minorHAnsi"/>
                <w:b/>
                <w:bCs/>
                <w:color w:val="00B050"/>
                <w:sz w:val="22"/>
              </w:rPr>
            </w:pPr>
            <w:r w:rsidRPr="00123CE0">
              <w:rPr>
                <w:rFonts w:asciiTheme="minorHAnsi" w:hAnsiTheme="minorHAnsi"/>
                <w:b/>
                <w:bCs/>
                <w:sz w:val="22"/>
              </w:rPr>
              <w:t>Montant de l’aide FEDER (minimum/maximum)</w:t>
            </w:r>
          </w:p>
        </w:tc>
        <w:tc>
          <w:tcPr>
            <w:tcW w:w="6079" w:type="dxa"/>
          </w:tcPr>
          <w:p w14:paraId="372C0312" w14:textId="77777777" w:rsidR="00B213B2" w:rsidRPr="00123CE0" w:rsidRDefault="00B213B2" w:rsidP="000B288C">
            <w:pPr>
              <w:suppressAutoHyphens/>
              <w:spacing w:after="0" w:line="240" w:lineRule="auto"/>
              <w:jc w:val="left"/>
              <w:rPr>
                <w:rFonts w:asciiTheme="minorHAnsi" w:hAnsiTheme="minorHAnsi" w:cstheme="minorHAnsi"/>
                <w:b/>
                <w:bCs/>
                <w:sz w:val="22"/>
              </w:rPr>
            </w:pPr>
            <w:r w:rsidRPr="00123CE0">
              <w:rPr>
                <w:rFonts w:asciiTheme="minorHAnsi" w:eastAsia="Calibri" w:hAnsiTheme="minorHAnsi"/>
                <w:b/>
                <w:bCs/>
                <w:sz w:val="22"/>
              </w:rPr>
              <w:t xml:space="preserve">Minimum investissement : </w:t>
            </w:r>
            <w:r>
              <w:rPr>
                <w:rFonts w:asciiTheme="minorHAnsi" w:eastAsia="Calibri" w:hAnsiTheme="minorHAnsi"/>
                <w:b/>
                <w:bCs/>
                <w:sz w:val="22"/>
              </w:rPr>
              <w:t>25</w:t>
            </w:r>
            <w:r w:rsidRPr="00123CE0">
              <w:rPr>
                <w:rFonts w:asciiTheme="minorHAnsi" w:eastAsia="Calibri" w:hAnsiTheme="minorHAnsi"/>
                <w:b/>
                <w:bCs/>
                <w:sz w:val="22"/>
              </w:rPr>
              <w:t xml:space="preserve"> 000 </w:t>
            </w:r>
            <w:r w:rsidRPr="00123CE0">
              <w:rPr>
                <w:rFonts w:asciiTheme="minorHAnsi" w:eastAsia="Calibri" w:hAnsiTheme="minorHAnsi" w:cstheme="minorHAnsi"/>
                <w:b/>
                <w:bCs/>
                <w:sz w:val="22"/>
              </w:rPr>
              <w:t>€ par projet</w:t>
            </w:r>
          </w:p>
          <w:p w14:paraId="2E7EA1BB" w14:textId="77777777" w:rsidR="00B213B2" w:rsidRPr="00123CE0" w:rsidRDefault="00B213B2" w:rsidP="000B288C">
            <w:pPr>
              <w:spacing w:after="0" w:line="240" w:lineRule="auto"/>
              <w:jc w:val="left"/>
              <w:rPr>
                <w:rFonts w:asciiTheme="minorHAnsi" w:hAnsiTheme="minorHAnsi"/>
                <w:b/>
                <w:bCs/>
                <w:sz w:val="22"/>
              </w:rPr>
            </w:pPr>
            <w:r w:rsidRPr="00123CE0">
              <w:rPr>
                <w:rFonts w:asciiTheme="minorHAnsi" w:eastAsia="Calibri" w:hAnsiTheme="minorHAnsi"/>
                <w:b/>
                <w:bCs/>
                <w:sz w:val="22"/>
              </w:rPr>
              <w:t xml:space="preserve">Minimum fonctionnement : 25 000 </w:t>
            </w:r>
            <w:r w:rsidRPr="00123CE0">
              <w:rPr>
                <w:rFonts w:asciiTheme="minorHAnsi" w:eastAsia="Calibri" w:hAnsiTheme="minorHAnsi" w:cstheme="minorHAnsi"/>
                <w:b/>
                <w:bCs/>
                <w:sz w:val="22"/>
              </w:rPr>
              <w:t>€ par projet</w:t>
            </w:r>
          </w:p>
        </w:tc>
      </w:tr>
    </w:tbl>
    <w:p w14:paraId="2C4135C6" w14:textId="77777777" w:rsidR="00B213B2" w:rsidRPr="00123CE0" w:rsidRDefault="00B213B2" w:rsidP="00B213B2">
      <w:pPr>
        <w:spacing w:after="0" w:line="240" w:lineRule="auto"/>
        <w:rPr>
          <w:rFonts w:asciiTheme="minorHAnsi" w:hAnsiTheme="minorHAnsi"/>
          <w:sz w:val="22"/>
        </w:rPr>
      </w:pPr>
    </w:p>
    <w:p w14:paraId="5CB8B1DD" w14:textId="77777777" w:rsidR="00B213B2" w:rsidRPr="00123CE0" w:rsidRDefault="00B213B2" w:rsidP="00B213B2">
      <w:pPr>
        <w:shd w:val="clear" w:color="auto" w:fill="E2EFD9" w:themeFill="accent6" w:themeFillTint="33"/>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AD47" w:themeFill="accent6"/>
        </w:rPr>
        <w:lastRenderedPageBreak/>
        <w:t>MODALITÉS DE FINANCEMENT ?</w:t>
      </w:r>
      <w:r w:rsidRPr="00123CE0">
        <w:rPr>
          <w:rFonts w:asciiTheme="minorHAnsi" w:hAnsiTheme="minorHAnsi"/>
          <w:b/>
          <w:bCs/>
          <w:sz w:val="28"/>
          <w:szCs w:val="28"/>
          <w:shd w:val="clear" w:color="auto" w:fill="70AD47" w:themeFill="accent6"/>
        </w:rPr>
        <w:t xml:space="preserv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Autres cofinanceurs mobilisables (liste non exhaustive)</w:t>
      </w:r>
    </w:p>
    <w:p w14:paraId="348C4952" w14:textId="77777777" w:rsidR="00B213B2" w:rsidRPr="00123CE0" w:rsidRDefault="00B213B2" w:rsidP="00B213B2">
      <w:pPr>
        <w:spacing w:after="0" w:line="240" w:lineRule="auto"/>
        <w:rPr>
          <w:rFonts w:asciiTheme="minorHAnsi" w:hAnsiTheme="minorHAnsi"/>
          <w:sz w:val="22"/>
        </w:rPr>
      </w:pPr>
    </w:p>
    <w:p w14:paraId="04E5A70F" w14:textId="77777777" w:rsidR="00B213B2" w:rsidRPr="00123CE0" w:rsidRDefault="00B213B2" w:rsidP="00B213B2">
      <w:pPr>
        <w:numPr>
          <w:ilvl w:val="0"/>
          <w:numId w:val="1"/>
        </w:numPr>
        <w:spacing w:after="0" w:line="240" w:lineRule="auto"/>
        <w:jc w:val="left"/>
        <w:rPr>
          <w:rFonts w:asciiTheme="minorHAnsi" w:hAnsiTheme="minorHAnsi"/>
          <w:sz w:val="22"/>
        </w:rPr>
      </w:pPr>
      <w:r w:rsidRPr="00123CE0">
        <w:rPr>
          <w:rFonts w:asciiTheme="minorHAnsi" w:hAnsiTheme="minorHAnsi"/>
          <w:sz w:val="22"/>
        </w:rPr>
        <w:t>Etat,</w:t>
      </w:r>
    </w:p>
    <w:p w14:paraId="79469CDF" w14:textId="77777777" w:rsidR="00B213B2" w:rsidRPr="00123CE0" w:rsidRDefault="00B213B2" w:rsidP="00B213B2">
      <w:pPr>
        <w:numPr>
          <w:ilvl w:val="0"/>
          <w:numId w:val="1"/>
        </w:numPr>
        <w:spacing w:after="0" w:line="240" w:lineRule="auto"/>
        <w:jc w:val="left"/>
        <w:rPr>
          <w:rFonts w:asciiTheme="minorHAnsi" w:hAnsiTheme="minorHAnsi"/>
          <w:sz w:val="22"/>
        </w:rPr>
      </w:pPr>
      <w:r w:rsidRPr="00123CE0">
        <w:rPr>
          <w:rFonts w:asciiTheme="minorHAnsi" w:hAnsiTheme="minorHAnsi"/>
          <w:sz w:val="22"/>
        </w:rPr>
        <w:t xml:space="preserve">Personnes morales de droit public notamment : collectivités territoriales, EPCI, EPTB, … </w:t>
      </w:r>
    </w:p>
    <w:p w14:paraId="24FD2095" w14:textId="77777777" w:rsidR="00B213B2" w:rsidRPr="00123CE0" w:rsidRDefault="00B213B2" w:rsidP="00B213B2">
      <w:pPr>
        <w:numPr>
          <w:ilvl w:val="0"/>
          <w:numId w:val="1"/>
        </w:numPr>
        <w:spacing w:after="0" w:line="240" w:lineRule="auto"/>
        <w:jc w:val="left"/>
        <w:rPr>
          <w:rFonts w:asciiTheme="minorHAnsi" w:hAnsiTheme="minorHAnsi"/>
          <w:sz w:val="22"/>
        </w:rPr>
      </w:pPr>
      <w:r w:rsidRPr="00123CE0">
        <w:rPr>
          <w:rFonts w:asciiTheme="minorHAnsi" w:hAnsiTheme="minorHAnsi"/>
          <w:sz w:val="22"/>
        </w:rPr>
        <w:t>Personnes morales de droit privé.</w:t>
      </w:r>
    </w:p>
    <w:p w14:paraId="1DD7BA7D" w14:textId="77777777" w:rsidR="00B213B2" w:rsidRPr="00123CE0" w:rsidRDefault="00B213B2" w:rsidP="00B213B2">
      <w:pPr>
        <w:spacing w:after="0" w:line="240" w:lineRule="auto"/>
        <w:rPr>
          <w:rFonts w:asciiTheme="minorHAnsi" w:hAnsiTheme="minorHAnsi"/>
          <w:sz w:val="22"/>
        </w:rPr>
      </w:pPr>
    </w:p>
    <w:p w14:paraId="781A1663" w14:textId="77777777" w:rsidR="00B213B2" w:rsidRPr="00123CE0" w:rsidRDefault="00B213B2" w:rsidP="00B213B2">
      <w:pPr>
        <w:shd w:val="clear" w:color="auto" w:fill="E2CFF1"/>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30A0"/>
        </w:rPr>
        <w:t>PERFORMANCE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Indicateurs de réalisation et de résultat</w:t>
      </w:r>
    </w:p>
    <w:p w14:paraId="1BD9D106" w14:textId="77777777" w:rsidR="00B213B2" w:rsidRPr="00123CE0" w:rsidRDefault="00B213B2" w:rsidP="00B213B2">
      <w:pPr>
        <w:spacing w:after="0" w:line="240" w:lineRule="auto"/>
        <w:rPr>
          <w:rFonts w:asciiTheme="minorHAnsi" w:hAnsiTheme="minorHAnsi"/>
          <w:sz w:val="22"/>
        </w:rPr>
      </w:pPr>
    </w:p>
    <w:tbl>
      <w:tblPr>
        <w:tblW w:w="10485" w:type="dxa"/>
        <w:tblCellMar>
          <w:left w:w="70" w:type="dxa"/>
          <w:right w:w="70" w:type="dxa"/>
        </w:tblCellMar>
        <w:tblLook w:val="04A0" w:firstRow="1" w:lastRow="0" w:firstColumn="1" w:lastColumn="0" w:noHBand="0" w:noVBand="1"/>
      </w:tblPr>
      <w:tblGrid>
        <w:gridCol w:w="1155"/>
        <w:gridCol w:w="890"/>
        <w:gridCol w:w="3973"/>
        <w:gridCol w:w="1103"/>
        <w:gridCol w:w="1103"/>
        <w:gridCol w:w="2261"/>
      </w:tblGrid>
      <w:tr w:rsidR="00B213B2" w:rsidRPr="00123CE0" w14:paraId="7E4A3B50" w14:textId="77777777" w:rsidTr="000B288C">
        <w:trPr>
          <w:trHeight w:val="246"/>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348CCE"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110A621A"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Numéro</w:t>
            </w:r>
          </w:p>
        </w:tc>
        <w:tc>
          <w:tcPr>
            <w:tcW w:w="3973" w:type="dxa"/>
            <w:tcBorders>
              <w:top w:val="single" w:sz="4" w:space="0" w:color="auto"/>
              <w:left w:val="nil"/>
              <w:bottom w:val="single" w:sz="4" w:space="0" w:color="auto"/>
              <w:right w:val="single" w:sz="4" w:space="0" w:color="auto"/>
            </w:tcBorders>
            <w:shd w:val="clear" w:color="000000" w:fill="D9D9D9"/>
            <w:vAlign w:val="center"/>
            <w:hideMark/>
          </w:tcPr>
          <w:p w14:paraId="566239D0"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Intitulé</w:t>
            </w:r>
          </w:p>
        </w:tc>
        <w:tc>
          <w:tcPr>
            <w:tcW w:w="1103" w:type="dxa"/>
            <w:tcBorders>
              <w:top w:val="single" w:sz="4" w:space="0" w:color="auto"/>
              <w:left w:val="nil"/>
              <w:bottom w:val="single" w:sz="4" w:space="0" w:color="auto"/>
              <w:right w:val="single" w:sz="4" w:space="0" w:color="auto"/>
            </w:tcBorders>
            <w:shd w:val="clear" w:color="000000" w:fill="DDEBF7"/>
            <w:vAlign w:val="center"/>
            <w:hideMark/>
          </w:tcPr>
          <w:p w14:paraId="1150CD83"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Valeur 2024</w:t>
            </w:r>
          </w:p>
        </w:tc>
        <w:tc>
          <w:tcPr>
            <w:tcW w:w="1103" w:type="dxa"/>
            <w:tcBorders>
              <w:top w:val="single" w:sz="4" w:space="0" w:color="auto"/>
              <w:left w:val="nil"/>
              <w:bottom w:val="single" w:sz="4" w:space="0" w:color="auto"/>
              <w:right w:val="single" w:sz="4" w:space="0" w:color="auto"/>
            </w:tcBorders>
            <w:shd w:val="clear" w:color="000000" w:fill="DDEBF7"/>
            <w:vAlign w:val="center"/>
            <w:hideMark/>
          </w:tcPr>
          <w:p w14:paraId="63E8D21C"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Valeur 2029</w:t>
            </w:r>
          </w:p>
        </w:tc>
        <w:tc>
          <w:tcPr>
            <w:tcW w:w="2261" w:type="dxa"/>
            <w:tcBorders>
              <w:top w:val="single" w:sz="4" w:space="0" w:color="auto"/>
              <w:left w:val="nil"/>
              <w:bottom w:val="single" w:sz="4" w:space="0" w:color="auto"/>
              <w:right w:val="single" w:sz="4" w:space="0" w:color="auto"/>
            </w:tcBorders>
            <w:shd w:val="clear" w:color="000000" w:fill="FFFF00"/>
            <w:vAlign w:val="center"/>
            <w:hideMark/>
          </w:tcPr>
          <w:p w14:paraId="75D16CDC" w14:textId="77777777" w:rsidR="00B213B2" w:rsidRPr="00123CE0" w:rsidRDefault="00B213B2" w:rsidP="000B288C">
            <w:pPr>
              <w:spacing w:after="0" w:line="240" w:lineRule="auto"/>
              <w:jc w:val="center"/>
              <w:rPr>
                <w:rFonts w:ascii="Calibri" w:eastAsia="Times New Roman" w:hAnsi="Calibri" w:cs="Calibri"/>
                <w:b/>
                <w:bCs/>
                <w:sz w:val="22"/>
                <w:lang w:eastAsia="fr-FR"/>
              </w:rPr>
            </w:pPr>
            <w:r w:rsidRPr="00123CE0">
              <w:rPr>
                <w:rFonts w:ascii="Calibri" w:eastAsia="Times New Roman" w:hAnsi="Calibri" w:cs="Calibri"/>
                <w:b/>
                <w:bCs/>
                <w:sz w:val="22"/>
                <w:lang w:eastAsia="fr-FR"/>
              </w:rPr>
              <w:t>Pièces justificatives</w:t>
            </w:r>
          </w:p>
        </w:tc>
      </w:tr>
      <w:tr w:rsidR="00B213B2" w:rsidRPr="00123CE0" w14:paraId="26DD7BC8" w14:textId="77777777" w:rsidTr="000B288C">
        <w:trPr>
          <w:trHeight w:val="925"/>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00D274F6" w14:textId="77777777" w:rsidR="00B213B2" w:rsidRPr="00123CE0" w:rsidRDefault="00B213B2" w:rsidP="000B288C">
            <w:pPr>
              <w:spacing w:after="0" w:line="240" w:lineRule="auto"/>
              <w:jc w:val="center"/>
              <w:rPr>
                <w:rFonts w:ascii="Calibri" w:eastAsia="Times New Roman" w:hAnsi="Calibri" w:cs="Calibri"/>
                <w:b/>
                <w:bCs/>
                <w:color w:val="5B9BD5"/>
                <w:sz w:val="22"/>
                <w:lang w:eastAsia="fr-FR"/>
              </w:rPr>
            </w:pPr>
            <w:r w:rsidRPr="00123CE0">
              <w:rPr>
                <w:rFonts w:ascii="Calibri" w:eastAsia="Times New Roman" w:hAnsi="Calibri" w:cs="Calibri"/>
                <w:b/>
                <w:bCs/>
                <w:color w:val="5B9BD5"/>
                <w:sz w:val="22"/>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24DDAF73"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RCO75</w:t>
            </w:r>
          </w:p>
        </w:tc>
        <w:tc>
          <w:tcPr>
            <w:tcW w:w="3973" w:type="dxa"/>
            <w:tcBorders>
              <w:top w:val="nil"/>
              <w:left w:val="nil"/>
              <w:bottom w:val="single" w:sz="4" w:space="0" w:color="auto"/>
              <w:right w:val="single" w:sz="4" w:space="0" w:color="auto"/>
            </w:tcBorders>
            <w:shd w:val="clear" w:color="000000" w:fill="FFFFFF"/>
            <w:vAlign w:val="center"/>
            <w:hideMark/>
          </w:tcPr>
          <w:p w14:paraId="67A09D73" w14:textId="77777777" w:rsidR="00B213B2" w:rsidRPr="00123CE0" w:rsidRDefault="00B213B2" w:rsidP="000B288C">
            <w:pPr>
              <w:spacing w:after="0" w:line="240" w:lineRule="auto"/>
              <w:jc w:val="left"/>
              <w:rPr>
                <w:rFonts w:ascii="Calibri" w:eastAsia="Times New Roman" w:hAnsi="Calibri" w:cs="Calibri"/>
                <w:sz w:val="22"/>
                <w:lang w:eastAsia="fr-FR"/>
              </w:rPr>
            </w:pPr>
            <w:r w:rsidRPr="00123CE0">
              <w:rPr>
                <w:rFonts w:ascii="Calibri" w:eastAsia="Times New Roman" w:hAnsi="Calibri" w:cs="Calibri"/>
                <w:sz w:val="22"/>
                <w:lang w:eastAsia="fr-FR"/>
              </w:rPr>
              <w:t>Stratégies de développement territorial intégré bénéficiant d’un soutien</w:t>
            </w:r>
          </w:p>
        </w:tc>
        <w:tc>
          <w:tcPr>
            <w:tcW w:w="1103" w:type="dxa"/>
            <w:tcBorders>
              <w:top w:val="nil"/>
              <w:left w:val="nil"/>
              <w:bottom w:val="single" w:sz="4" w:space="0" w:color="auto"/>
              <w:right w:val="single" w:sz="4" w:space="0" w:color="auto"/>
            </w:tcBorders>
            <w:shd w:val="clear" w:color="000000" w:fill="FFFFFF"/>
            <w:vAlign w:val="center"/>
            <w:hideMark/>
          </w:tcPr>
          <w:p w14:paraId="17C545D8"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14</w:t>
            </w:r>
          </w:p>
        </w:tc>
        <w:tc>
          <w:tcPr>
            <w:tcW w:w="1103" w:type="dxa"/>
            <w:tcBorders>
              <w:top w:val="nil"/>
              <w:left w:val="nil"/>
              <w:bottom w:val="single" w:sz="4" w:space="0" w:color="auto"/>
              <w:right w:val="single" w:sz="4" w:space="0" w:color="auto"/>
            </w:tcBorders>
            <w:shd w:val="clear" w:color="000000" w:fill="FFFFFF"/>
            <w:vAlign w:val="center"/>
            <w:hideMark/>
          </w:tcPr>
          <w:p w14:paraId="06153169"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29</w:t>
            </w:r>
          </w:p>
        </w:tc>
        <w:tc>
          <w:tcPr>
            <w:tcW w:w="2261" w:type="dxa"/>
            <w:tcBorders>
              <w:top w:val="nil"/>
              <w:left w:val="nil"/>
              <w:bottom w:val="single" w:sz="4" w:space="0" w:color="auto"/>
              <w:right w:val="single" w:sz="4" w:space="0" w:color="auto"/>
            </w:tcBorders>
            <w:shd w:val="clear" w:color="000000" w:fill="FFFFFF"/>
            <w:vAlign w:val="center"/>
            <w:hideMark/>
          </w:tcPr>
          <w:p w14:paraId="7615369F"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Contrats territoriaux et convention et rapport de mise en œuvre</w:t>
            </w:r>
          </w:p>
        </w:tc>
      </w:tr>
      <w:tr w:rsidR="00B213B2" w:rsidRPr="00123CE0" w14:paraId="49F4BCE7" w14:textId="77777777" w:rsidTr="000B288C">
        <w:trPr>
          <w:trHeight w:val="1025"/>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19E2719D" w14:textId="77777777" w:rsidR="00B213B2" w:rsidRPr="00123CE0" w:rsidRDefault="00B213B2" w:rsidP="000B288C">
            <w:pPr>
              <w:spacing w:after="0" w:line="240" w:lineRule="auto"/>
              <w:jc w:val="center"/>
              <w:rPr>
                <w:rFonts w:ascii="Calibri" w:eastAsia="Times New Roman" w:hAnsi="Calibri" w:cs="Calibri"/>
                <w:b/>
                <w:bCs/>
                <w:color w:val="70AD47"/>
                <w:sz w:val="22"/>
                <w:lang w:eastAsia="fr-FR"/>
              </w:rPr>
            </w:pPr>
            <w:r w:rsidRPr="00123CE0">
              <w:rPr>
                <w:rFonts w:ascii="Calibri" w:eastAsia="Times New Roman" w:hAnsi="Calibri" w:cs="Calibri"/>
                <w:b/>
                <w:bCs/>
                <w:color w:val="70AD47"/>
                <w:sz w:val="22"/>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1F2D523A"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RCR35</w:t>
            </w:r>
          </w:p>
        </w:tc>
        <w:tc>
          <w:tcPr>
            <w:tcW w:w="3973" w:type="dxa"/>
            <w:tcBorders>
              <w:top w:val="nil"/>
              <w:left w:val="nil"/>
              <w:bottom w:val="single" w:sz="4" w:space="0" w:color="auto"/>
              <w:right w:val="single" w:sz="4" w:space="0" w:color="auto"/>
            </w:tcBorders>
            <w:shd w:val="clear" w:color="000000" w:fill="FFFFFF"/>
            <w:vAlign w:val="center"/>
            <w:hideMark/>
          </w:tcPr>
          <w:p w14:paraId="28B84BC5" w14:textId="77777777" w:rsidR="00B213B2" w:rsidRPr="00123CE0" w:rsidRDefault="00B213B2" w:rsidP="000B288C">
            <w:pPr>
              <w:spacing w:after="0" w:line="240" w:lineRule="auto"/>
              <w:jc w:val="left"/>
              <w:rPr>
                <w:rFonts w:ascii="Calibri" w:eastAsia="Times New Roman" w:hAnsi="Calibri" w:cs="Calibri"/>
                <w:sz w:val="22"/>
                <w:lang w:eastAsia="fr-FR"/>
              </w:rPr>
            </w:pPr>
            <w:r w:rsidRPr="00123CE0">
              <w:rPr>
                <w:rFonts w:ascii="Calibri" w:eastAsia="Times New Roman" w:hAnsi="Calibri" w:cs="Calibri"/>
                <w:sz w:val="22"/>
                <w:lang w:eastAsia="fr-FR"/>
              </w:rPr>
              <w:t>Population bénéficiant de mesures de protection contre les inondations</w:t>
            </w:r>
          </w:p>
        </w:tc>
        <w:tc>
          <w:tcPr>
            <w:tcW w:w="1103"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413F9018"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 </w:t>
            </w:r>
          </w:p>
        </w:tc>
        <w:tc>
          <w:tcPr>
            <w:tcW w:w="1103" w:type="dxa"/>
            <w:tcBorders>
              <w:top w:val="nil"/>
              <w:left w:val="nil"/>
              <w:bottom w:val="single" w:sz="4" w:space="0" w:color="auto"/>
              <w:right w:val="single" w:sz="4" w:space="0" w:color="auto"/>
            </w:tcBorders>
            <w:shd w:val="clear" w:color="000000" w:fill="FFFFFF"/>
            <w:vAlign w:val="center"/>
            <w:hideMark/>
          </w:tcPr>
          <w:p w14:paraId="3E87C628"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667 500</w:t>
            </w:r>
          </w:p>
        </w:tc>
        <w:tc>
          <w:tcPr>
            <w:tcW w:w="2261" w:type="dxa"/>
            <w:tcBorders>
              <w:top w:val="nil"/>
              <w:left w:val="nil"/>
              <w:bottom w:val="single" w:sz="4" w:space="0" w:color="auto"/>
              <w:right w:val="single" w:sz="4" w:space="0" w:color="auto"/>
            </w:tcBorders>
            <w:shd w:val="clear" w:color="000000" w:fill="FFFFFF"/>
            <w:vAlign w:val="center"/>
            <w:hideMark/>
          </w:tcPr>
          <w:p w14:paraId="79C9B369" w14:textId="77777777" w:rsidR="00B213B2" w:rsidRPr="00123CE0" w:rsidRDefault="00B213B2" w:rsidP="000B288C">
            <w:pPr>
              <w:spacing w:after="0" w:line="240" w:lineRule="auto"/>
              <w:jc w:val="center"/>
              <w:rPr>
                <w:rFonts w:ascii="Calibri" w:eastAsia="Times New Roman" w:hAnsi="Calibri" w:cs="Calibri"/>
                <w:sz w:val="22"/>
                <w:lang w:eastAsia="fr-FR"/>
              </w:rPr>
            </w:pPr>
            <w:r w:rsidRPr="00123CE0">
              <w:rPr>
                <w:rFonts w:ascii="Calibri" w:eastAsia="Times New Roman" w:hAnsi="Calibri" w:cs="Calibri"/>
                <w:sz w:val="22"/>
                <w:lang w:eastAsia="fr-FR"/>
              </w:rPr>
              <w:t>Etude d'impact et rapport d'évaluation / mise en œuvre émis par le porteur détaillant l'estimation de population concernée ;</w:t>
            </w:r>
            <w:r w:rsidRPr="00123CE0">
              <w:rPr>
                <w:rFonts w:ascii="Calibri" w:eastAsia="Times New Roman" w:hAnsi="Calibri" w:cs="Calibri"/>
                <w:sz w:val="22"/>
                <w:lang w:eastAsia="fr-FR"/>
              </w:rPr>
              <w:br/>
              <w:t xml:space="preserve">Extraction des systèmes de surveillance / registres régionaux. </w:t>
            </w:r>
          </w:p>
        </w:tc>
      </w:tr>
    </w:tbl>
    <w:p w14:paraId="01910CCC" w14:textId="77777777" w:rsidR="00B213B2" w:rsidRPr="00123CE0" w:rsidRDefault="00B213B2" w:rsidP="00B213B2">
      <w:pPr>
        <w:spacing w:after="0" w:line="240" w:lineRule="auto"/>
        <w:rPr>
          <w:rFonts w:asciiTheme="minorHAnsi" w:hAnsiTheme="minorHAnsi"/>
          <w:sz w:val="22"/>
        </w:rPr>
      </w:pPr>
    </w:p>
    <w:p w14:paraId="34A48FD4" w14:textId="77777777" w:rsidR="00B213B2" w:rsidRPr="00123CE0" w:rsidRDefault="00B213B2" w:rsidP="00B213B2">
      <w:pPr>
        <w:shd w:val="clear" w:color="auto" w:fill="E2CFF1"/>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30A0"/>
        </w:rPr>
        <w:t>PERFORMANCE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Cibles financières à atteindre sur l’action</w:t>
      </w:r>
    </w:p>
    <w:p w14:paraId="282E87D1" w14:textId="77777777" w:rsidR="00B213B2" w:rsidRPr="00123CE0" w:rsidRDefault="00B213B2" w:rsidP="00B213B2">
      <w:pPr>
        <w:spacing w:after="0" w:line="240" w:lineRule="auto"/>
        <w:rPr>
          <w:rFonts w:asciiTheme="minorHAnsi" w:hAnsiTheme="minorHAnsi"/>
          <w:sz w:val="22"/>
        </w:rPr>
      </w:pPr>
    </w:p>
    <w:p w14:paraId="1C1D2D10" w14:textId="77777777" w:rsidR="00B213B2" w:rsidRPr="00123CE0" w:rsidRDefault="00B213B2" w:rsidP="00B213B2">
      <w:pPr>
        <w:spacing w:after="0" w:line="240" w:lineRule="auto"/>
        <w:rPr>
          <w:rFonts w:asciiTheme="minorHAnsi" w:hAnsiTheme="minorHAnsi"/>
          <w:b/>
          <w:bCs/>
          <w:sz w:val="22"/>
        </w:rPr>
      </w:pPr>
      <w:r w:rsidRPr="00123CE0">
        <w:rPr>
          <w:rFonts w:asciiTheme="minorHAnsi" w:hAnsiTheme="minorHAnsi"/>
          <w:b/>
          <w:bCs/>
          <w:sz w:val="22"/>
        </w:rPr>
        <w:t>9 000 000 €</w:t>
      </w:r>
    </w:p>
    <w:p w14:paraId="26568FA0" w14:textId="77777777" w:rsidR="00B213B2" w:rsidRPr="00123CE0" w:rsidRDefault="00B213B2" w:rsidP="00B213B2">
      <w:pPr>
        <w:spacing w:after="0" w:line="240" w:lineRule="auto"/>
        <w:rPr>
          <w:rFonts w:asciiTheme="minorHAnsi" w:hAnsiTheme="minorHAnsi"/>
          <w:sz w:val="22"/>
        </w:rPr>
      </w:pPr>
    </w:p>
    <w:p w14:paraId="61D0AFEC" w14:textId="77777777" w:rsidR="00B213B2" w:rsidRPr="00123CE0" w:rsidRDefault="00B213B2" w:rsidP="00B213B2">
      <w:pPr>
        <w:shd w:val="clear" w:color="auto" w:fill="E2CFF1"/>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7030A0"/>
        </w:rPr>
        <w:t>PERFORMANCE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Instruments financiers applicables</w:t>
      </w:r>
    </w:p>
    <w:p w14:paraId="1DF9DB2C" w14:textId="77777777" w:rsidR="00B213B2" w:rsidRPr="00123CE0" w:rsidRDefault="00B213B2" w:rsidP="00B213B2">
      <w:pPr>
        <w:spacing w:after="0" w:line="240" w:lineRule="auto"/>
        <w:rPr>
          <w:rFonts w:asciiTheme="minorHAnsi" w:hAnsiTheme="minorHAnsi"/>
          <w:sz w:val="22"/>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B213B2" w:rsidRPr="00123CE0" w14:paraId="3F24A254" w14:textId="77777777" w:rsidTr="000B288C">
        <w:tc>
          <w:tcPr>
            <w:tcW w:w="9067" w:type="dxa"/>
            <w:tcBorders>
              <w:bottom w:val="single" w:sz="4" w:space="0" w:color="auto"/>
            </w:tcBorders>
            <w:vAlign w:val="center"/>
          </w:tcPr>
          <w:p w14:paraId="1559EE78" w14:textId="77777777" w:rsidR="00B213B2" w:rsidRPr="00123CE0" w:rsidRDefault="00B213B2" w:rsidP="000B288C">
            <w:pPr>
              <w:spacing w:after="0" w:line="240" w:lineRule="auto"/>
              <w:jc w:val="center"/>
              <w:rPr>
                <w:rFonts w:asciiTheme="minorHAnsi" w:hAnsiTheme="minorHAnsi"/>
                <w:sz w:val="22"/>
              </w:rPr>
            </w:pPr>
          </w:p>
        </w:tc>
        <w:tc>
          <w:tcPr>
            <w:tcW w:w="1423" w:type="dxa"/>
            <w:tcBorders>
              <w:top w:val="single" w:sz="4" w:space="0" w:color="auto"/>
            </w:tcBorders>
            <w:vAlign w:val="center"/>
          </w:tcPr>
          <w:p w14:paraId="361E3003" w14:textId="77777777" w:rsidR="00B213B2" w:rsidRPr="00123CE0" w:rsidRDefault="00B213B2" w:rsidP="000B288C">
            <w:pPr>
              <w:spacing w:after="0" w:line="240" w:lineRule="auto"/>
              <w:jc w:val="center"/>
              <w:rPr>
                <w:rFonts w:asciiTheme="minorHAnsi" w:hAnsiTheme="minorHAnsi"/>
                <w:b/>
                <w:bCs/>
                <w:sz w:val="22"/>
              </w:rPr>
            </w:pPr>
            <w:r w:rsidRPr="00123CE0">
              <w:rPr>
                <w:rFonts w:asciiTheme="minorHAnsi" w:hAnsiTheme="minorHAnsi"/>
                <w:b/>
                <w:bCs/>
                <w:color w:val="002060"/>
                <w:sz w:val="22"/>
              </w:rPr>
              <w:t>Mobilisable sur l’action</w:t>
            </w:r>
          </w:p>
        </w:tc>
      </w:tr>
      <w:tr w:rsidR="00B213B2" w:rsidRPr="00123CE0" w14:paraId="12D5A46B" w14:textId="77777777" w:rsidTr="000B288C">
        <w:tc>
          <w:tcPr>
            <w:tcW w:w="9067" w:type="dxa"/>
            <w:tcBorders>
              <w:top w:val="single" w:sz="4" w:space="0" w:color="auto"/>
              <w:left w:val="single" w:sz="4" w:space="0" w:color="auto"/>
            </w:tcBorders>
            <w:vAlign w:val="center"/>
          </w:tcPr>
          <w:p w14:paraId="7B74560A"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1 – Subvention non remboursable</w:t>
            </w:r>
          </w:p>
        </w:tc>
        <w:tc>
          <w:tcPr>
            <w:tcW w:w="1423" w:type="dxa"/>
            <w:vAlign w:val="center"/>
          </w:tcPr>
          <w:p w14:paraId="3915C28E"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4E4E05C9" wp14:editId="2240CC2F">
                  <wp:extent cx="262393" cy="262393"/>
                  <wp:effectExtent l="0" t="0" r="4445" b="4445"/>
                  <wp:docPr id="784945406" name="Picture 78494540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213B2" w:rsidRPr="00123CE0" w14:paraId="5863050F" w14:textId="77777777" w:rsidTr="000B288C">
        <w:tc>
          <w:tcPr>
            <w:tcW w:w="9067" w:type="dxa"/>
            <w:tcBorders>
              <w:top w:val="single" w:sz="4" w:space="0" w:color="auto"/>
              <w:left w:val="single" w:sz="4" w:space="0" w:color="auto"/>
            </w:tcBorders>
            <w:vAlign w:val="center"/>
          </w:tcPr>
          <w:p w14:paraId="291166C1"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2 – Subvention remboursable</w:t>
            </w:r>
          </w:p>
        </w:tc>
        <w:tc>
          <w:tcPr>
            <w:tcW w:w="1423" w:type="dxa"/>
            <w:vAlign w:val="center"/>
          </w:tcPr>
          <w:p w14:paraId="1B9FB157"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2AE5EA96" wp14:editId="51654938">
                  <wp:extent cx="230588" cy="230588"/>
                  <wp:effectExtent l="0" t="0" r="0" b="0"/>
                  <wp:docPr id="784945407" name="Picture 78494540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5E52D86C" w14:textId="77777777" w:rsidTr="000B288C">
        <w:tc>
          <w:tcPr>
            <w:tcW w:w="9067" w:type="dxa"/>
            <w:tcBorders>
              <w:top w:val="single" w:sz="4" w:space="0" w:color="auto"/>
              <w:left w:val="single" w:sz="4" w:space="0" w:color="auto"/>
            </w:tcBorders>
            <w:vAlign w:val="center"/>
          </w:tcPr>
          <w:p w14:paraId="69C601F7"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3 – Soutien par le biais d’instruments financiers : capital risque et de fonds propres ou équivalent</w:t>
            </w:r>
          </w:p>
        </w:tc>
        <w:tc>
          <w:tcPr>
            <w:tcW w:w="1423" w:type="dxa"/>
            <w:vAlign w:val="center"/>
          </w:tcPr>
          <w:p w14:paraId="6C4641AF"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35B6C32F" wp14:editId="3F6AB3BF">
                  <wp:extent cx="230588" cy="230588"/>
                  <wp:effectExtent l="0" t="0" r="0" b="0"/>
                  <wp:docPr id="784945408" name="Picture 78494540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767133D6" w14:textId="77777777" w:rsidTr="000B288C">
        <w:tc>
          <w:tcPr>
            <w:tcW w:w="9067" w:type="dxa"/>
            <w:tcBorders>
              <w:top w:val="single" w:sz="4" w:space="0" w:color="auto"/>
              <w:left w:val="single" w:sz="4" w:space="0" w:color="auto"/>
            </w:tcBorders>
            <w:vAlign w:val="center"/>
          </w:tcPr>
          <w:p w14:paraId="2B459F32"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4 – Soutien par le biais d’instruments financiers : prêt ou équivalent</w:t>
            </w:r>
          </w:p>
        </w:tc>
        <w:tc>
          <w:tcPr>
            <w:tcW w:w="1423" w:type="dxa"/>
            <w:vAlign w:val="center"/>
          </w:tcPr>
          <w:p w14:paraId="28F91396"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7B7E7FC6" wp14:editId="3EF8C385">
                  <wp:extent cx="230588" cy="230588"/>
                  <wp:effectExtent l="0" t="0" r="0" b="0"/>
                  <wp:docPr id="784945409" name="Picture 78494540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360337CD" w14:textId="77777777" w:rsidTr="000B288C">
        <w:tc>
          <w:tcPr>
            <w:tcW w:w="9067" w:type="dxa"/>
            <w:tcBorders>
              <w:top w:val="single" w:sz="4" w:space="0" w:color="auto"/>
              <w:left w:val="single" w:sz="4" w:space="0" w:color="auto"/>
              <w:bottom w:val="single" w:sz="4" w:space="0" w:color="auto"/>
            </w:tcBorders>
            <w:vAlign w:val="center"/>
          </w:tcPr>
          <w:p w14:paraId="6FDE8A7B"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5 – Soutien par le biais d’instruments financiers : garantie ou équivalent</w:t>
            </w:r>
          </w:p>
        </w:tc>
        <w:tc>
          <w:tcPr>
            <w:tcW w:w="1423" w:type="dxa"/>
            <w:tcBorders>
              <w:bottom w:val="single" w:sz="4" w:space="0" w:color="auto"/>
            </w:tcBorders>
            <w:vAlign w:val="center"/>
          </w:tcPr>
          <w:p w14:paraId="477386B2"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68719111" wp14:editId="67D72B84">
                  <wp:extent cx="230588" cy="230588"/>
                  <wp:effectExtent l="0" t="0" r="0" b="0"/>
                  <wp:docPr id="784945410" name="Picture 78494541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r w:rsidR="00B213B2" w:rsidRPr="00123CE0" w14:paraId="48B2D30B" w14:textId="77777777" w:rsidTr="000B288C">
        <w:tc>
          <w:tcPr>
            <w:tcW w:w="9067" w:type="dxa"/>
            <w:tcBorders>
              <w:top w:val="single" w:sz="4" w:space="0" w:color="auto"/>
              <w:left w:val="single" w:sz="4" w:space="0" w:color="auto"/>
              <w:bottom w:val="single" w:sz="4" w:space="0" w:color="auto"/>
            </w:tcBorders>
            <w:vAlign w:val="center"/>
          </w:tcPr>
          <w:p w14:paraId="348084D9" w14:textId="77777777" w:rsidR="00B213B2" w:rsidRPr="00123CE0" w:rsidRDefault="00B213B2" w:rsidP="000B288C">
            <w:pPr>
              <w:spacing w:after="0" w:line="240" w:lineRule="auto"/>
              <w:jc w:val="left"/>
              <w:rPr>
                <w:rFonts w:asciiTheme="minorHAnsi" w:hAnsiTheme="minorHAnsi"/>
                <w:sz w:val="22"/>
              </w:rPr>
            </w:pPr>
            <w:r w:rsidRPr="00123CE0">
              <w:rPr>
                <w:rFonts w:asciiTheme="minorHAnsi" w:hAnsiTheme="minorHAnsi"/>
                <w:sz w:val="22"/>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41753659" w14:textId="77777777" w:rsidR="00B213B2" w:rsidRPr="00123CE0" w:rsidRDefault="00B213B2" w:rsidP="000B288C">
            <w:pPr>
              <w:spacing w:after="0" w:line="240" w:lineRule="auto"/>
              <w:jc w:val="center"/>
              <w:rPr>
                <w:rFonts w:asciiTheme="minorHAnsi" w:hAnsiTheme="minorHAnsi"/>
                <w:sz w:val="22"/>
              </w:rPr>
            </w:pPr>
            <w:r w:rsidRPr="00123CE0">
              <w:rPr>
                <w:rFonts w:asciiTheme="minorHAnsi" w:hAnsiTheme="minorHAnsi"/>
                <w:b/>
                <w:bCs/>
                <w:noProof/>
                <w:color w:val="002060"/>
                <w:sz w:val="22"/>
              </w:rPr>
              <w:drawing>
                <wp:inline distT="0" distB="0" distL="0" distR="0" wp14:anchorId="44AD47D6" wp14:editId="46A9B143">
                  <wp:extent cx="230588" cy="230588"/>
                  <wp:effectExtent l="0" t="0" r="0" b="0"/>
                  <wp:docPr id="784945411" name="Picture 78494541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557" cy="236557"/>
                          </a:xfrm>
                          <a:prstGeom prst="rect">
                            <a:avLst/>
                          </a:prstGeom>
                        </pic:spPr>
                      </pic:pic>
                    </a:graphicData>
                  </a:graphic>
                </wp:inline>
              </w:drawing>
            </w:r>
          </w:p>
        </w:tc>
      </w:tr>
    </w:tbl>
    <w:p w14:paraId="0F571741" w14:textId="77777777" w:rsidR="00B213B2" w:rsidRPr="00123CE0" w:rsidRDefault="00B213B2" w:rsidP="00B213B2">
      <w:pPr>
        <w:spacing w:after="0" w:line="240" w:lineRule="auto"/>
        <w:rPr>
          <w:rFonts w:asciiTheme="minorHAnsi" w:hAnsiTheme="minorHAnsi"/>
          <w:sz w:val="22"/>
        </w:rPr>
      </w:pPr>
    </w:p>
    <w:p w14:paraId="1B23CC51" w14:textId="77777777" w:rsidR="00B213B2" w:rsidRPr="00123CE0" w:rsidRDefault="00B213B2" w:rsidP="00B213B2">
      <w:pPr>
        <w:shd w:val="clear" w:color="auto" w:fill="D9D9D9" w:themeFill="background1" w:themeFillShade="D9"/>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A5A5A5" w:themeFill="accent3"/>
        </w:rPr>
        <w:t xml:space="preserve">ADMINISTRATION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Partie réservée à l’administration</w:t>
      </w:r>
    </w:p>
    <w:p w14:paraId="4761FFA4" w14:textId="77777777" w:rsidR="00B213B2" w:rsidRPr="00123CE0" w:rsidRDefault="00B213B2" w:rsidP="00B213B2">
      <w:pPr>
        <w:spacing w:after="0" w:line="240" w:lineRule="auto"/>
        <w:rPr>
          <w:rFonts w:asciiTheme="minorHAnsi" w:hAnsiTheme="minorHAnsi"/>
          <w:sz w:val="22"/>
        </w:rPr>
      </w:pPr>
    </w:p>
    <w:p w14:paraId="1599039B"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b/>
          <w:bCs/>
          <w:color w:val="002060"/>
          <w:sz w:val="22"/>
        </w:rPr>
        <w:t>Service instructeur :</w:t>
      </w:r>
      <w:r w:rsidRPr="00123CE0">
        <w:rPr>
          <w:rFonts w:asciiTheme="minorHAnsi" w:hAnsiTheme="minorHAnsi"/>
          <w:sz w:val="22"/>
        </w:rPr>
        <w:t xml:space="preserve"> service PO FEDER-FSE – Direction Europe et International – Conseil régional Centre-Val de Loire</w:t>
      </w:r>
    </w:p>
    <w:p w14:paraId="2A2C20A9" w14:textId="77777777" w:rsidR="00B213B2" w:rsidRPr="00123CE0" w:rsidRDefault="00B213B2" w:rsidP="00B213B2">
      <w:pPr>
        <w:spacing w:after="0" w:line="240" w:lineRule="auto"/>
        <w:rPr>
          <w:rFonts w:asciiTheme="minorHAnsi" w:hAnsiTheme="minorHAnsi"/>
          <w:b/>
          <w:bCs/>
          <w:color w:val="002060"/>
          <w:sz w:val="22"/>
        </w:rPr>
      </w:pPr>
    </w:p>
    <w:p w14:paraId="79EDB494" w14:textId="77777777" w:rsidR="00B213B2" w:rsidRPr="00123CE0" w:rsidRDefault="00B213B2" w:rsidP="00B213B2">
      <w:pPr>
        <w:spacing w:after="0" w:line="240" w:lineRule="auto"/>
        <w:rPr>
          <w:rFonts w:asciiTheme="minorHAnsi" w:hAnsiTheme="minorHAnsi"/>
          <w:b/>
          <w:bCs/>
          <w:sz w:val="22"/>
        </w:rPr>
      </w:pPr>
      <w:r w:rsidRPr="00123CE0">
        <w:rPr>
          <w:rFonts w:asciiTheme="minorHAnsi" w:hAnsiTheme="minorHAnsi"/>
          <w:b/>
          <w:bCs/>
          <w:color w:val="002060"/>
          <w:sz w:val="22"/>
        </w:rPr>
        <w:t>Services et organismes consultés pour avis :</w:t>
      </w:r>
      <w:r w:rsidRPr="00123CE0">
        <w:rPr>
          <w:rFonts w:asciiTheme="minorHAnsi" w:hAnsiTheme="minorHAnsi"/>
          <w:b/>
          <w:bCs/>
          <w:sz w:val="22"/>
        </w:rPr>
        <w:t xml:space="preserve"> </w:t>
      </w:r>
      <w:r w:rsidRPr="00123CE0">
        <w:rPr>
          <w:rFonts w:asciiTheme="minorHAnsi" w:hAnsiTheme="minorHAnsi"/>
          <w:sz w:val="22"/>
        </w:rPr>
        <w:t>sans objet</w:t>
      </w:r>
    </w:p>
    <w:p w14:paraId="2F359305" w14:textId="77777777" w:rsidR="00B213B2" w:rsidRPr="00123CE0" w:rsidRDefault="00B213B2" w:rsidP="00B213B2">
      <w:pPr>
        <w:spacing w:after="0" w:line="240" w:lineRule="auto"/>
        <w:rPr>
          <w:rFonts w:asciiTheme="minorHAnsi" w:hAnsiTheme="minorHAnsi"/>
          <w:sz w:val="22"/>
        </w:rPr>
      </w:pPr>
      <w:r w:rsidRPr="00123CE0">
        <w:rPr>
          <w:rFonts w:asciiTheme="minorHAnsi" w:hAnsiTheme="minorHAnsi"/>
          <w:b/>
          <w:bCs/>
          <w:color w:val="002060"/>
          <w:sz w:val="22"/>
        </w:rPr>
        <w:t>Organismes à consulter pour information :</w:t>
      </w:r>
      <w:r w:rsidRPr="00123CE0">
        <w:rPr>
          <w:rFonts w:asciiTheme="minorHAnsi" w:hAnsiTheme="minorHAnsi"/>
          <w:color w:val="002060"/>
          <w:sz w:val="22"/>
        </w:rPr>
        <w:t xml:space="preserve"> </w:t>
      </w:r>
      <w:r w:rsidRPr="00123CE0">
        <w:rPr>
          <w:rFonts w:asciiTheme="minorHAnsi" w:hAnsiTheme="minorHAnsi"/>
          <w:sz w:val="22"/>
        </w:rPr>
        <w:t xml:space="preserve">Etat : DREAL de bassin Loire/Bretagne / DDT </w:t>
      </w:r>
    </w:p>
    <w:p w14:paraId="3555E708" w14:textId="77777777" w:rsidR="00B213B2" w:rsidRPr="00123CE0" w:rsidRDefault="00B213B2" w:rsidP="00B213B2">
      <w:pPr>
        <w:spacing w:after="0" w:line="240" w:lineRule="auto"/>
        <w:rPr>
          <w:rFonts w:asciiTheme="minorHAnsi" w:hAnsiTheme="minorHAnsi"/>
          <w:sz w:val="22"/>
        </w:rPr>
      </w:pPr>
    </w:p>
    <w:p w14:paraId="3B8CEAEF" w14:textId="77777777" w:rsidR="00B213B2" w:rsidRDefault="00B213B2" w:rsidP="00B213B2">
      <w:pPr>
        <w:spacing w:after="0" w:line="240" w:lineRule="auto"/>
        <w:rPr>
          <w:rFonts w:asciiTheme="minorHAnsi" w:hAnsiTheme="minorHAnsi"/>
          <w:sz w:val="22"/>
        </w:rPr>
      </w:pPr>
    </w:p>
    <w:p w14:paraId="281DA22D" w14:textId="77777777" w:rsidR="00B213B2" w:rsidRPr="00123CE0" w:rsidRDefault="00B213B2" w:rsidP="00B213B2">
      <w:pPr>
        <w:spacing w:after="0" w:line="240" w:lineRule="auto"/>
        <w:rPr>
          <w:rFonts w:asciiTheme="minorHAnsi" w:hAnsiTheme="minorHAnsi"/>
          <w:sz w:val="22"/>
        </w:rPr>
      </w:pPr>
    </w:p>
    <w:p w14:paraId="13E3598A" w14:textId="77777777" w:rsidR="00B213B2" w:rsidRPr="00123CE0" w:rsidRDefault="00B213B2" w:rsidP="00B213B2">
      <w:pPr>
        <w:shd w:val="clear" w:color="auto" w:fill="D9D9D9" w:themeFill="background1" w:themeFillShade="D9"/>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A5A5A5" w:themeFill="accent3"/>
        </w:rPr>
        <w:lastRenderedPageBreak/>
        <w:t xml:space="preserve">ADMINISTRATION </w:t>
      </w:r>
      <w:r w:rsidRPr="00123CE0">
        <w:rPr>
          <w:rFonts w:asciiTheme="minorHAnsi" w:hAnsiTheme="minorHAnsi"/>
          <w:b/>
          <w:bCs/>
          <w:sz w:val="28"/>
          <w:szCs w:val="28"/>
        </w:rPr>
        <w:t xml:space="preserve">  </w:t>
      </w:r>
      <w:r w:rsidRPr="00123CE0">
        <w:rPr>
          <w:rFonts w:asciiTheme="minorHAnsi" w:hAnsiTheme="minorHAnsi"/>
          <w:b/>
          <w:bCs/>
          <w:color w:val="002060"/>
          <w:sz w:val="28"/>
          <w:szCs w:val="28"/>
        </w:rPr>
        <w:t>Catégories d’intervention</w:t>
      </w:r>
    </w:p>
    <w:p w14:paraId="13EEB7A9" w14:textId="77777777" w:rsidR="00B213B2" w:rsidRPr="00123CE0" w:rsidRDefault="00B213B2" w:rsidP="00B213B2">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256"/>
        <w:gridCol w:w="7229"/>
      </w:tblGrid>
      <w:tr w:rsidR="00B213B2" w:rsidRPr="00123CE0" w14:paraId="39410F7D" w14:textId="77777777" w:rsidTr="000B288C">
        <w:trPr>
          <w:trHeight w:val="191"/>
        </w:trPr>
        <w:tc>
          <w:tcPr>
            <w:tcW w:w="3256" w:type="dxa"/>
            <w:vAlign w:val="center"/>
          </w:tcPr>
          <w:p w14:paraId="48088E88" w14:textId="77777777" w:rsidR="00B213B2" w:rsidRPr="00123CE0" w:rsidRDefault="00B213B2" w:rsidP="000B288C">
            <w:pPr>
              <w:spacing w:after="0" w:line="240" w:lineRule="auto"/>
              <w:jc w:val="left"/>
              <w:rPr>
                <w:rFonts w:asciiTheme="minorHAnsi" w:hAnsiTheme="minorHAnsi"/>
                <w:b/>
                <w:bCs/>
                <w:color w:val="002060"/>
                <w:szCs w:val="20"/>
              </w:rPr>
            </w:pPr>
            <w:r w:rsidRPr="00123CE0">
              <w:rPr>
                <w:rFonts w:asciiTheme="minorHAnsi" w:hAnsiTheme="minorHAnsi"/>
                <w:b/>
                <w:bCs/>
                <w:color w:val="002060"/>
                <w:szCs w:val="20"/>
              </w:rPr>
              <w:t>Domaine d’intervention</w:t>
            </w:r>
          </w:p>
        </w:tc>
        <w:tc>
          <w:tcPr>
            <w:tcW w:w="7229" w:type="dxa"/>
            <w:vAlign w:val="center"/>
          </w:tcPr>
          <w:p w14:paraId="0B50E3D5" w14:textId="77777777" w:rsidR="00B213B2" w:rsidRPr="00123CE0" w:rsidRDefault="00B213B2" w:rsidP="000B288C">
            <w:pPr>
              <w:spacing w:after="0" w:line="240" w:lineRule="auto"/>
              <w:jc w:val="left"/>
              <w:rPr>
                <w:rFonts w:asciiTheme="minorHAnsi" w:hAnsiTheme="minorHAnsi"/>
                <w:szCs w:val="20"/>
              </w:rPr>
            </w:pPr>
            <w:r w:rsidRPr="00123CE0">
              <w:rPr>
                <w:rFonts w:asciiTheme="minorHAnsi" w:hAnsiTheme="minorHAnsi"/>
                <w:szCs w:val="20"/>
              </w:rPr>
              <w:t>058 Mesures d'adaptation au changement climatique et prévention et gestion des risques liés au climat : inondations et glissements de terrain (y compris sensibilisation, systèmes de protection civile et de gestion des catastrophes, infrastructures et approches fondées sur les écosystèmes)</w:t>
            </w:r>
          </w:p>
        </w:tc>
      </w:tr>
      <w:tr w:rsidR="00B213B2" w:rsidRPr="00123CE0" w14:paraId="7CB01FA4" w14:textId="77777777" w:rsidTr="000B288C">
        <w:tc>
          <w:tcPr>
            <w:tcW w:w="3256" w:type="dxa"/>
            <w:vAlign w:val="center"/>
          </w:tcPr>
          <w:p w14:paraId="0FFBEF3A" w14:textId="77777777" w:rsidR="00B213B2" w:rsidRPr="00123CE0" w:rsidRDefault="00B213B2" w:rsidP="000B288C">
            <w:pPr>
              <w:spacing w:after="0" w:line="240" w:lineRule="auto"/>
              <w:jc w:val="left"/>
              <w:rPr>
                <w:rFonts w:asciiTheme="minorHAnsi" w:hAnsiTheme="minorHAnsi"/>
                <w:b/>
                <w:bCs/>
                <w:color w:val="002060"/>
                <w:szCs w:val="20"/>
              </w:rPr>
            </w:pPr>
            <w:r w:rsidRPr="00123CE0">
              <w:rPr>
                <w:rFonts w:asciiTheme="minorHAnsi" w:hAnsiTheme="minorHAnsi"/>
                <w:b/>
                <w:bCs/>
                <w:color w:val="002060"/>
                <w:szCs w:val="20"/>
              </w:rPr>
              <w:t>Forme de financement</w:t>
            </w:r>
          </w:p>
        </w:tc>
        <w:tc>
          <w:tcPr>
            <w:tcW w:w="7229" w:type="dxa"/>
            <w:vAlign w:val="center"/>
          </w:tcPr>
          <w:p w14:paraId="4F153C1E" w14:textId="77777777" w:rsidR="00B213B2" w:rsidRPr="00123CE0" w:rsidRDefault="00B213B2" w:rsidP="000B288C">
            <w:pPr>
              <w:spacing w:after="0" w:line="240" w:lineRule="auto"/>
              <w:jc w:val="left"/>
              <w:rPr>
                <w:rFonts w:asciiTheme="minorHAnsi" w:hAnsiTheme="minorHAnsi"/>
                <w:szCs w:val="20"/>
              </w:rPr>
            </w:pPr>
            <w:r w:rsidRPr="00123CE0">
              <w:rPr>
                <w:rFonts w:asciiTheme="minorHAnsi" w:hAnsiTheme="minorHAnsi"/>
                <w:szCs w:val="20"/>
              </w:rPr>
              <w:t>01 Subvention</w:t>
            </w:r>
          </w:p>
        </w:tc>
      </w:tr>
      <w:tr w:rsidR="00B213B2" w:rsidRPr="00123CE0" w14:paraId="25D90D3F" w14:textId="77777777" w:rsidTr="000B288C">
        <w:tc>
          <w:tcPr>
            <w:tcW w:w="3256" w:type="dxa"/>
            <w:vAlign w:val="center"/>
          </w:tcPr>
          <w:p w14:paraId="0BBAC121" w14:textId="77777777" w:rsidR="00B213B2" w:rsidRPr="00123CE0" w:rsidRDefault="00B213B2" w:rsidP="000B288C">
            <w:pPr>
              <w:spacing w:after="0" w:line="240" w:lineRule="auto"/>
              <w:jc w:val="left"/>
              <w:rPr>
                <w:rFonts w:asciiTheme="minorHAnsi" w:hAnsiTheme="minorHAnsi"/>
                <w:b/>
                <w:bCs/>
                <w:color w:val="002060"/>
                <w:szCs w:val="20"/>
              </w:rPr>
            </w:pPr>
            <w:r w:rsidRPr="00123CE0">
              <w:rPr>
                <w:rFonts w:asciiTheme="minorHAnsi" w:hAnsiTheme="minorHAnsi"/>
                <w:b/>
                <w:bCs/>
                <w:color w:val="002060"/>
                <w:szCs w:val="20"/>
              </w:rPr>
              <w:t>Mécanisme d’application territorial et approche territoriale</w:t>
            </w:r>
          </w:p>
        </w:tc>
        <w:tc>
          <w:tcPr>
            <w:tcW w:w="7229" w:type="dxa"/>
            <w:vAlign w:val="center"/>
          </w:tcPr>
          <w:p w14:paraId="168FCDDB" w14:textId="77777777" w:rsidR="00B213B2" w:rsidRPr="00123CE0" w:rsidRDefault="00B213B2" w:rsidP="000B288C">
            <w:pPr>
              <w:spacing w:after="0" w:line="240" w:lineRule="auto"/>
              <w:jc w:val="left"/>
              <w:rPr>
                <w:rFonts w:asciiTheme="minorHAnsi" w:hAnsiTheme="minorHAnsi"/>
                <w:szCs w:val="20"/>
              </w:rPr>
            </w:pPr>
            <w:r w:rsidRPr="000B67E4">
              <w:rPr>
                <w:rFonts w:asciiTheme="minorHAnsi" w:hAnsiTheme="minorHAnsi"/>
                <w:szCs w:val="20"/>
              </w:rPr>
              <w:t>20 Autre type d'outil territorial —  Zones rurales</w:t>
            </w:r>
          </w:p>
        </w:tc>
      </w:tr>
      <w:tr w:rsidR="00B213B2" w:rsidRPr="00123CE0" w14:paraId="04CFD2F1" w14:textId="77777777" w:rsidTr="000B288C">
        <w:tc>
          <w:tcPr>
            <w:tcW w:w="3256" w:type="dxa"/>
            <w:vAlign w:val="center"/>
          </w:tcPr>
          <w:p w14:paraId="12DDF6B1" w14:textId="77777777" w:rsidR="00B213B2" w:rsidRPr="00123CE0" w:rsidRDefault="00B213B2" w:rsidP="000B288C">
            <w:pPr>
              <w:spacing w:after="0" w:line="240" w:lineRule="auto"/>
              <w:jc w:val="left"/>
              <w:rPr>
                <w:rFonts w:asciiTheme="minorHAnsi" w:hAnsiTheme="minorHAnsi"/>
                <w:b/>
                <w:bCs/>
                <w:color w:val="002060"/>
                <w:szCs w:val="20"/>
              </w:rPr>
            </w:pPr>
            <w:r w:rsidRPr="00123CE0">
              <w:rPr>
                <w:rFonts w:asciiTheme="minorHAnsi" w:hAnsiTheme="minorHAnsi"/>
                <w:b/>
                <w:bCs/>
                <w:color w:val="002060"/>
                <w:szCs w:val="20"/>
              </w:rPr>
              <w:t>Egalité entre les hommes et les femmes</w:t>
            </w:r>
          </w:p>
        </w:tc>
        <w:tc>
          <w:tcPr>
            <w:tcW w:w="7229" w:type="dxa"/>
            <w:vAlign w:val="center"/>
          </w:tcPr>
          <w:p w14:paraId="684D9EBE" w14:textId="77777777" w:rsidR="00B213B2" w:rsidRPr="00123CE0" w:rsidRDefault="00B213B2" w:rsidP="000B288C">
            <w:pPr>
              <w:spacing w:after="0" w:line="240" w:lineRule="auto"/>
              <w:jc w:val="left"/>
              <w:rPr>
                <w:rFonts w:asciiTheme="minorHAnsi" w:hAnsiTheme="minorHAnsi"/>
                <w:szCs w:val="20"/>
              </w:rPr>
            </w:pPr>
            <w:r w:rsidRPr="00123CE0">
              <w:rPr>
                <w:rFonts w:asciiTheme="minorHAnsi" w:hAnsiTheme="minorHAnsi"/>
                <w:szCs w:val="20"/>
              </w:rPr>
              <w:t>03 Neutralité du point de vue de l'égalité entre les hommes et les femmes</w:t>
            </w:r>
          </w:p>
        </w:tc>
      </w:tr>
    </w:tbl>
    <w:p w14:paraId="33DC1AF4" w14:textId="77777777" w:rsidR="00B213B2" w:rsidRPr="00123CE0" w:rsidRDefault="00B213B2" w:rsidP="00B213B2">
      <w:pPr>
        <w:spacing w:after="0" w:line="240" w:lineRule="auto"/>
        <w:rPr>
          <w:rFonts w:asciiTheme="minorHAnsi" w:hAnsiTheme="minorHAnsi"/>
          <w:sz w:val="22"/>
        </w:rPr>
      </w:pPr>
    </w:p>
    <w:p w14:paraId="1E02CD59" w14:textId="77777777" w:rsidR="00B213B2" w:rsidRPr="00123CE0" w:rsidRDefault="00B213B2" w:rsidP="00B213B2">
      <w:pPr>
        <w:shd w:val="clear" w:color="auto" w:fill="B7ECFF"/>
        <w:spacing w:after="0" w:line="240" w:lineRule="auto"/>
        <w:rPr>
          <w:rFonts w:asciiTheme="minorHAnsi" w:hAnsiTheme="minorHAnsi"/>
          <w:b/>
          <w:bCs/>
          <w:sz w:val="28"/>
          <w:szCs w:val="28"/>
        </w:rPr>
      </w:pPr>
      <w:r w:rsidRPr="00123CE0">
        <w:rPr>
          <w:rFonts w:asciiTheme="minorHAnsi" w:hAnsiTheme="minorHAnsi"/>
          <w:b/>
          <w:bCs/>
          <w:color w:val="FFFFFF" w:themeColor="background1"/>
          <w:sz w:val="28"/>
          <w:szCs w:val="28"/>
          <w:shd w:val="clear" w:color="auto" w:fill="00B0F0"/>
        </w:rPr>
        <w:t xml:space="preserve">CONTACT </w:t>
      </w:r>
      <w:r w:rsidRPr="00123CE0">
        <w:rPr>
          <w:rFonts w:asciiTheme="minorHAnsi" w:hAnsiTheme="minorHAnsi"/>
          <w:b/>
          <w:bCs/>
          <w:color w:val="002060"/>
          <w:sz w:val="28"/>
          <w:szCs w:val="28"/>
        </w:rPr>
        <w:t xml:space="preserve">  Service(s) en charge de l’instruction des dossiers</w:t>
      </w:r>
    </w:p>
    <w:p w14:paraId="6C8C867A" w14:textId="77777777" w:rsidR="00B213B2" w:rsidRPr="00123CE0" w:rsidRDefault="00B213B2" w:rsidP="00B213B2">
      <w:pPr>
        <w:spacing w:after="0" w:line="240" w:lineRule="auto"/>
        <w:rPr>
          <w:rFonts w:asciiTheme="minorHAnsi" w:hAnsiTheme="minorHAnsi"/>
          <w:sz w:val="22"/>
        </w:rPr>
      </w:pPr>
    </w:p>
    <w:p w14:paraId="660FEA88" w14:textId="77777777" w:rsidR="00B213B2" w:rsidRDefault="00B213B2" w:rsidP="00B213B2">
      <w:pPr>
        <w:pStyle w:val="Sansinterligne"/>
        <w:jc w:val="both"/>
      </w:pPr>
      <w:r w:rsidRPr="00123CE0">
        <w:rPr>
          <w:b/>
          <w:bCs/>
          <w:color w:val="002060"/>
        </w:rPr>
        <w:t>Contact :</w:t>
      </w:r>
      <w:r w:rsidRPr="00123CE0">
        <w:t xml:space="preserve"> Conseil régional Centre-Val de Loire, Direction Europe et International, </w:t>
      </w:r>
      <w:r w:rsidRPr="00FE0993">
        <w:t>Service Programmation des Fonds européens FEDER FSE+</w:t>
      </w:r>
    </w:p>
    <w:p w14:paraId="0BA5591F" w14:textId="77777777" w:rsidR="00B213B2" w:rsidRDefault="00B213B2" w:rsidP="00B213B2">
      <w:pPr>
        <w:pStyle w:val="Sansinterligne"/>
        <w:jc w:val="both"/>
      </w:pPr>
      <w:r>
        <w:rPr>
          <w:noProof/>
        </w:rPr>
        <w:drawing>
          <wp:inline distT="0" distB="0" distL="0" distR="0" wp14:anchorId="77022CFB" wp14:editId="29848AA0">
            <wp:extent cx="204826" cy="204826"/>
            <wp:effectExtent l="0" t="0" r="5080" b="5080"/>
            <wp:docPr id="784945648" name="Picture 784945648"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4826" cy="204826"/>
                    </a:xfrm>
                    <a:prstGeom prst="rect">
                      <a:avLst/>
                    </a:prstGeom>
                  </pic:spPr>
                </pic:pic>
              </a:graphicData>
            </a:graphic>
          </wp:inline>
        </w:drawing>
      </w:r>
      <w:r>
        <w:t xml:space="preserve"> : </w:t>
      </w:r>
      <w:hyperlink r:id="rId18" w:history="1">
        <w:r w:rsidRPr="00E4771E">
          <w:rPr>
            <w:rStyle w:val="Lienhypertexte"/>
          </w:rPr>
          <w:t>ext-europe@centrevaldeloire.fr</w:t>
        </w:r>
      </w:hyperlink>
    </w:p>
    <w:p w14:paraId="6158BB73" w14:textId="77777777" w:rsidR="00B213B2" w:rsidRDefault="00B213B2" w:rsidP="00B213B2">
      <w:pPr>
        <w:spacing w:after="0" w:line="240" w:lineRule="auto"/>
        <w:rPr>
          <w:rFonts w:ascii="Calibri" w:hAnsi="Calibri" w:cs="Calibri"/>
        </w:rPr>
      </w:pPr>
    </w:p>
    <w:p w14:paraId="6F3183F6" w14:textId="7835A012" w:rsidR="00D65D01" w:rsidRPr="00D65D01" w:rsidRDefault="00D65D01" w:rsidP="00B213B2">
      <w:pPr>
        <w:rPr>
          <w:rFonts w:ascii="Calibri" w:hAnsi="Calibri" w:cs="Calibri"/>
          <w:sz w:val="22"/>
        </w:rPr>
      </w:pPr>
    </w:p>
    <w:sectPr w:rsidR="00D65D01" w:rsidRPr="00D65D01"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6A"/>
    <w:multiLevelType w:val="hybridMultilevel"/>
    <w:tmpl w:val="CDDAD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0734E"/>
    <w:multiLevelType w:val="hybridMultilevel"/>
    <w:tmpl w:val="AFD4E1C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C31D4"/>
    <w:multiLevelType w:val="hybridMultilevel"/>
    <w:tmpl w:val="8E304A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F44CD"/>
    <w:multiLevelType w:val="hybridMultilevel"/>
    <w:tmpl w:val="6E1457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F9A472B"/>
    <w:multiLevelType w:val="hybridMultilevel"/>
    <w:tmpl w:val="2574604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F0A42"/>
    <w:multiLevelType w:val="multilevel"/>
    <w:tmpl w:val="7A98AC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467D46"/>
    <w:multiLevelType w:val="hybridMultilevel"/>
    <w:tmpl w:val="58809E84"/>
    <w:lvl w:ilvl="0" w:tplc="568CAF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650B5"/>
    <w:multiLevelType w:val="hybridMultilevel"/>
    <w:tmpl w:val="05B8C39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249F4"/>
    <w:multiLevelType w:val="hybridMultilevel"/>
    <w:tmpl w:val="8F2AE58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FF6717"/>
    <w:multiLevelType w:val="hybridMultilevel"/>
    <w:tmpl w:val="486EF40C"/>
    <w:lvl w:ilvl="0" w:tplc="F4E23E4C">
      <w:numFmt w:val="bullet"/>
      <w:lvlText w:val=""/>
      <w:lvlJc w:val="left"/>
      <w:pPr>
        <w:ind w:left="1069" w:hanging="360"/>
      </w:pPr>
      <w:rPr>
        <w:rFonts w:ascii="Wingdings" w:eastAsiaTheme="minorHAnsi" w:hAnsi="Wingdings" w:cstheme="minorBidi" w:hint="default"/>
        <w:b w:val="0"/>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DC41B1D"/>
    <w:multiLevelType w:val="hybridMultilevel"/>
    <w:tmpl w:val="D47ACB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F1EA3"/>
    <w:multiLevelType w:val="hybridMultilevel"/>
    <w:tmpl w:val="1006143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1E0470"/>
    <w:multiLevelType w:val="hybridMultilevel"/>
    <w:tmpl w:val="D0CE132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B448D"/>
    <w:multiLevelType w:val="hybridMultilevel"/>
    <w:tmpl w:val="4A701F7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AE2D62"/>
    <w:multiLevelType w:val="hybridMultilevel"/>
    <w:tmpl w:val="82985EA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3E045C"/>
    <w:multiLevelType w:val="hybridMultilevel"/>
    <w:tmpl w:val="E89C40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85B89"/>
    <w:multiLevelType w:val="hybridMultilevel"/>
    <w:tmpl w:val="CB5ADB2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B333ED"/>
    <w:multiLevelType w:val="hybridMultilevel"/>
    <w:tmpl w:val="A81479C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2B6561"/>
    <w:multiLevelType w:val="hybridMultilevel"/>
    <w:tmpl w:val="1E0E7F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C27B31"/>
    <w:multiLevelType w:val="hybridMultilevel"/>
    <w:tmpl w:val="02A4B1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884441"/>
    <w:multiLevelType w:val="hybridMultilevel"/>
    <w:tmpl w:val="6A468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8E0EFD"/>
    <w:multiLevelType w:val="hybridMultilevel"/>
    <w:tmpl w:val="5B7AF44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F71773"/>
    <w:multiLevelType w:val="hybridMultilevel"/>
    <w:tmpl w:val="8116AB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BF412EB"/>
    <w:multiLevelType w:val="hybridMultilevel"/>
    <w:tmpl w:val="F4B676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045507"/>
    <w:multiLevelType w:val="hybridMultilevel"/>
    <w:tmpl w:val="547800C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C3D35"/>
    <w:multiLevelType w:val="hybridMultilevel"/>
    <w:tmpl w:val="AE2EC9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76B26"/>
    <w:multiLevelType w:val="hybridMultilevel"/>
    <w:tmpl w:val="D6BC789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4324B00"/>
    <w:multiLevelType w:val="multilevel"/>
    <w:tmpl w:val="FABED802"/>
    <w:lvl w:ilvl="0">
      <w:start w:val="1"/>
      <w:numFmt w:val="bullet"/>
      <w:lvlText w:val="-"/>
      <w:lvlJc w:val="left"/>
      <w:pPr>
        <w:tabs>
          <w:tab w:val="num" w:pos="0"/>
        </w:tabs>
        <w:ind w:left="720" w:hanging="360"/>
      </w:pPr>
      <w:rPr>
        <w:rFonts w:ascii="Calibri" w:hAnsi="Calibri" w:cs="Calibri" w:hint="default"/>
      </w:rPr>
    </w:lvl>
    <w:lvl w:ilvl="1">
      <w:numFmt w:val="bullet"/>
      <w:lvlText w:val=""/>
      <w:lvlJc w:val="left"/>
      <w:pPr>
        <w:tabs>
          <w:tab w:val="num" w:pos="-87"/>
        </w:tabs>
        <w:ind w:left="1353"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A4A1E05"/>
    <w:multiLevelType w:val="hybridMultilevel"/>
    <w:tmpl w:val="D17616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F0B98"/>
    <w:multiLevelType w:val="hybridMultilevel"/>
    <w:tmpl w:val="E924B4FA"/>
    <w:lvl w:ilvl="0" w:tplc="064253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FF0872"/>
    <w:multiLevelType w:val="hybridMultilevel"/>
    <w:tmpl w:val="9C7CD0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A441F4"/>
    <w:multiLevelType w:val="hybridMultilevel"/>
    <w:tmpl w:val="FB2E965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7D23BB"/>
    <w:multiLevelType w:val="hybridMultilevel"/>
    <w:tmpl w:val="E536FB2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AF1091"/>
    <w:multiLevelType w:val="hybridMultilevel"/>
    <w:tmpl w:val="8612E49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F358BA"/>
    <w:multiLevelType w:val="hybridMultilevel"/>
    <w:tmpl w:val="28EE8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12494F"/>
    <w:multiLevelType w:val="hybridMultilevel"/>
    <w:tmpl w:val="503A12C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4F0D88"/>
    <w:multiLevelType w:val="hybridMultilevel"/>
    <w:tmpl w:val="9B78E4B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F15286"/>
    <w:multiLevelType w:val="hybridMultilevel"/>
    <w:tmpl w:val="40A084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3D25F1"/>
    <w:multiLevelType w:val="hybridMultilevel"/>
    <w:tmpl w:val="900A3C56"/>
    <w:lvl w:ilvl="0" w:tplc="25AED5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1398045">
    <w:abstractNumId w:val="33"/>
  </w:num>
  <w:num w:numId="2" w16cid:durableId="1329871354">
    <w:abstractNumId w:val="31"/>
  </w:num>
  <w:num w:numId="3" w16cid:durableId="953055928">
    <w:abstractNumId w:val="14"/>
  </w:num>
  <w:num w:numId="4" w16cid:durableId="1130591276">
    <w:abstractNumId w:val="36"/>
  </w:num>
  <w:num w:numId="5" w16cid:durableId="233202166">
    <w:abstractNumId w:val="26"/>
  </w:num>
  <w:num w:numId="6" w16cid:durableId="1815873186">
    <w:abstractNumId w:val="21"/>
  </w:num>
  <w:num w:numId="7" w16cid:durableId="1102610283">
    <w:abstractNumId w:val="39"/>
  </w:num>
  <w:num w:numId="8" w16cid:durableId="1456753455">
    <w:abstractNumId w:val="3"/>
  </w:num>
  <w:num w:numId="9" w16cid:durableId="866407565">
    <w:abstractNumId w:val="37"/>
  </w:num>
  <w:num w:numId="10" w16cid:durableId="440492540">
    <w:abstractNumId w:val="20"/>
  </w:num>
  <w:num w:numId="11" w16cid:durableId="282464588">
    <w:abstractNumId w:val="23"/>
  </w:num>
  <w:num w:numId="12" w16cid:durableId="2120906447">
    <w:abstractNumId w:val="29"/>
  </w:num>
  <w:num w:numId="13" w16cid:durableId="2064787622">
    <w:abstractNumId w:val="6"/>
  </w:num>
  <w:num w:numId="14" w16cid:durableId="487793421">
    <w:abstractNumId w:val="30"/>
  </w:num>
  <w:num w:numId="15" w16cid:durableId="478351681">
    <w:abstractNumId w:val="9"/>
  </w:num>
  <w:num w:numId="16" w16cid:durableId="1168517628">
    <w:abstractNumId w:val="11"/>
  </w:num>
  <w:num w:numId="17" w16cid:durableId="429468481">
    <w:abstractNumId w:val="1"/>
  </w:num>
  <w:num w:numId="18" w16cid:durableId="154536558">
    <w:abstractNumId w:val="12"/>
  </w:num>
  <w:num w:numId="19" w16cid:durableId="1301035976">
    <w:abstractNumId w:val="25"/>
  </w:num>
  <w:num w:numId="20" w16cid:durableId="849218713">
    <w:abstractNumId w:val="34"/>
  </w:num>
  <w:num w:numId="21" w16cid:durableId="1331252044">
    <w:abstractNumId w:val="13"/>
  </w:num>
  <w:num w:numId="22" w16cid:durableId="2100826165">
    <w:abstractNumId w:val="22"/>
  </w:num>
  <w:num w:numId="23" w16cid:durableId="1074933497">
    <w:abstractNumId w:val="0"/>
  </w:num>
  <w:num w:numId="24" w16cid:durableId="89816414">
    <w:abstractNumId w:val="2"/>
  </w:num>
  <w:num w:numId="25" w16cid:durableId="2145537197">
    <w:abstractNumId w:val="8"/>
  </w:num>
  <w:num w:numId="26" w16cid:durableId="985863078">
    <w:abstractNumId w:val="15"/>
  </w:num>
  <w:num w:numId="27" w16cid:durableId="693578173">
    <w:abstractNumId w:val="19"/>
  </w:num>
  <w:num w:numId="28" w16cid:durableId="1231619384">
    <w:abstractNumId w:val="7"/>
  </w:num>
  <w:num w:numId="29" w16cid:durableId="1853952169">
    <w:abstractNumId w:val="17"/>
  </w:num>
  <w:num w:numId="30" w16cid:durableId="280497584">
    <w:abstractNumId w:val="16"/>
  </w:num>
  <w:num w:numId="31" w16cid:durableId="1341738242">
    <w:abstractNumId w:val="4"/>
  </w:num>
  <w:num w:numId="32" w16cid:durableId="463500063">
    <w:abstractNumId w:val="10"/>
  </w:num>
  <w:num w:numId="33" w16cid:durableId="186873475">
    <w:abstractNumId w:val="38"/>
  </w:num>
  <w:num w:numId="34" w16cid:durableId="268393336">
    <w:abstractNumId w:val="24"/>
  </w:num>
  <w:num w:numId="35" w16cid:durableId="766577938">
    <w:abstractNumId w:val="32"/>
  </w:num>
  <w:num w:numId="36" w16cid:durableId="2031367822">
    <w:abstractNumId w:val="5"/>
  </w:num>
  <w:num w:numId="37" w16cid:durableId="1747914412">
    <w:abstractNumId w:val="18"/>
  </w:num>
  <w:num w:numId="38" w16cid:durableId="1614439987">
    <w:abstractNumId w:val="35"/>
  </w:num>
  <w:num w:numId="39" w16cid:durableId="963923750">
    <w:abstractNumId w:val="27"/>
  </w:num>
  <w:num w:numId="40" w16cid:durableId="1086538389">
    <w:abstractNumId w:val="40"/>
  </w:num>
  <w:num w:numId="41" w16cid:durableId="131656475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210C9"/>
    <w:rsid w:val="000A7546"/>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4D4853"/>
    <w:rsid w:val="005521DB"/>
    <w:rsid w:val="005774DA"/>
    <w:rsid w:val="005F410E"/>
    <w:rsid w:val="006347A3"/>
    <w:rsid w:val="006455FB"/>
    <w:rsid w:val="0065762F"/>
    <w:rsid w:val="006822AF"/>
    <w:rsid w:val="0069573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213B2"/>
    <w:rsid w:val="00B801F8"/>
    <w:rsid w:val="00B87CF4"/>
    <w:rsid w:val="00C16113"/>
    <w:rsid w:val="00CC2054"/>
    <w:rsid w:val="00D349E1"/>
    <w:rsid w:val="00D65218"/>
    <w:rsid w:val="00D65D01"/>
    <w:rsid w:val="00DB0077"/>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ext-europe@centrevaldeloir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3212A-F986-496E-AC6B-1DCBA9D743F7}">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4084419F-FD6A-490C-AAAE-C24C61C0C5BB}">
  <ds:schemaRefs>
    <ds:schemaRef ds:uri="http://schemas.microsoft.com/sharepoint/v3/contenttype/forms"/>
  </ds:schemaRefs>
</ds:datastoreItem>
</file>

<file path=customXml/itemProps3.xml><?xml version="1.0" encoding="utf-8"?>
<ds:datastoreItem xmlns:ds="http://schemas.openxmlformats.org/officeDocument/2006/customXml" ds:itemID="{6D5CD234-8272-4BDC-86F3-EEB254E4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2367</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2022-11-30T13:48:00Z</dcterms:created>
  <dcterms:modified xsi:type="dcterms:W3CDTF">2024-01-10T16:22:00Z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